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ind w:firstLine="0" w:firstLineChars="0"/>
        <w:jc w:val="center"/>
        <w:rPr>
          <w:rFonts w:hint="eastAsia" w:ascii="Times New Roman" w:hAnsi="Times New Roman" w:eastAsia="方正小标宋_GBK" w:cs="Times New Roman"/>
          <w:color w:val="auto"/>
          <w:w w:val="82"/>
          <w:sz w:val="72"/>
          <w:szCs w:val="72"/>
          <w:highlight w:val="none"/>
          <w:lang w:val="en-US" w:eastAsia="zh-CN"/>
        </w:rPr>
      </w:pPr>
      <w:r>
        <w:rPr>
          <w:rFonts w:hint="eastAsia" w:ascii="Times New Roman" w:hAnsi="Times New Roman" w:eastAsia="方正小标宋_GBK" w:cs="Times New Roman"/>
          <w:color w:val="auto"/>
          <w:w w:val="82"/>
          <w:sz w:val="72"/>
          <w:szCs w:val="72"/>
          <w:highlight w:val="none"/>
          <w:lang w:val="en-US" w:eastAsia="zh-CN"/>
        </w:rPr>
        <w:t>广安市前锋区旅游发展服务中心</w:t>
      </w:r>
    </w:p>
    <w:p>
      <w:pPr>
        <w:spacing w:line="800" w:lineRule="exact"/>
        <w:ind w:firstLine="1440" w:firstLineChars="200"/>
        <w:jc w:val="both"/>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2025</w:t>
      </w:r>
      <w:r>
        <w:rPr>
          <w:rFonts w:hint="default" w:ascii="Times New Roman" w:hAnsi="Times New Roman" w:eastAsia="方正小标宋_GBK" w:cs="Times New Roman"/>
          <w:sz w:val="72"/>
          <w:szCs w:val="72"/>
          <w:highlight w:val="none"/>
        </w:rPr>
        <w:t>年部门预算</w:t>
      </w:r>
    </w:p>
    <w:p>
      <w:pP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广安市前锋区旅游发展服务中心</w:t>
      </w:r>
      <w:r>
        <w:rPr>
          <w:rFonts w:hint="default" w:ascii="Times New Roman" w:hAnsi="Times New Roman" w:eastAsia="黑体" w:cs="Times New Roman"/>
          <w:kern w:val="0"/>
          <w:sz w:val="32"/>
          <w:szCs w:val="32"/>
          <w:highlight w:val="none"/>
          <w:lang w:val="en-US" w:eastAsia="zh-CN" w:bidi="ar"/>
        </w:rPr>
        <w:t>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p>
    <w:p>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广安市前锋区旅游发展服务中心2025</w:t>
      </w:r>
      <w:r>
        <w:rPr>
          <w:rFonts w:hint="default" w:ascii="Times New Roman" w:hAnsi="Times New Roman" w:eastAsia="黑体" w:cs="Times New Roman"/>
          <w:kern w:val="0"/>
          <w:sz w:val="32"/>
          <w:szCs w:val="32"/>
          <w:highlight w:val="none"/>
          <w:lang w:val="en-US" w:eastAsia="zh-CN" w:bidi="ar"/>
        </w:rPr>
        <w:t>年部门预算情况说明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left="2238" w:leftChars="304" w:hanging="1600" w:hangingChars="5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广安市前锋区旅游发展服务中心2025</w:t>
      </w:r>
      <w:r>
        <w:rPr>
          <w:rFonts w:hint="default" w:ascii="Times New Roman" w:hAnsi="Times New Roman" w:eastAsia="黑体" w:cs="Times New Roman"/>
          <w:kern w:val="0"/>
          <w:sz w:val="32"/>
          <w:szCs w:val="32"/>
          <w:highlight w:val="none"/>
          <w:lang w:val="en-US" w:eastAsia="zh-CN" w:bidi="ar"/>
        </w:rPr>
        <w:t>年部门预算表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广安市前锋区旅游发展服务中心概况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7"/>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广安市前锋区旅游发展服务中心</w:t>
      </w:r>
      <w:r>
        <w:rPr>
          <w:rFonts w:hint="default" w:ascii="Times New Roman" w:hAnsi="Times New Roman" w:eastAsia="楷体_GB2312" w:cs="Times New Roman"/>
          <w:b/>
          <w:sz w:val="32"/>
          <w:szCs w:val="32"/>
          <w:highlight w:val="none"/>
        </w:rPr>
        <w:t>职能简介。</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1.贯彻执行《中华人民共和国旅游法》《中华人民共和国城乡规划法》《中华人民共和国土地管理法》《中华人民共和国森林法》《中华人民共和国野生动物保护法》《中华人民共和国环境保护法》等法律法规，按照科学规划、统一管理、严格保护、永续利用的原则，拟订旅游服务管理的政策措施，负责做好景区内自然、生态、旅游资源开发和环境保护等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2.负责组织编制全区旅游总体规划、发展计划和建设详细规划，按规定程序报批后组织实施；负责旅游区整体形象宣传和市场营销活动；负责制定、发布和组织实施旅游区各项管理制度、服务规定和优惠政策，推进全域旅游业发展。</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3.负责旅游资源开发、旅游建设环境综合治理、康养旅游、乡村旅游、假日旅游、红色旅游、旅游行业培训等工作。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4.组织推进全区旅游公共服务建设，指导监督全区旅游重点基础设施建设，协助制定旅游产业发展的地方标准和行业规范，统筹推进旅游基本公共服务标准化、均等化。</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5.负责全区旅游招商项目策划、编制、洽谈，负责对国内外及港澳台旅游交流合作与宣传推广，协助前锋区政府签订旅游合作协定，按照规定权限审批或审核景区投资项目，并报有关部门备案。</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6.负责旅游系统的综合协调与监督管理，制定职责范围内的安全生产年度监督检查计划并组织实施。</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7.指导重点旅游企业发展、景区提档升级、旅游新业态的规划和旅游商品开发。</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8.指导开展天府旅游名牌、天府旅游名品、省市文旅特色品牌、A级景区、旅游度假区、生态旅游示范区等创建评定工作。</w:t>
      </w:r>
    </w:p>
    <w:p>
      <w:pPr>
        <w:spacing w:line="600" w:lineRule="exact"/>
        <w:ind w:firstLine="640" w:firstLineChars="200"/>
        <w:rPr>
          <w:rFonts w:hint="eastAsia" w:ascii="Times New Roman" w:hAnsi="Times New Roman" w:eastAsia="仿宋_GB2312" w:cs="仿宋_GB2312"/>
          <w:kern w:val="2"/>
          <w:sz w:val="32"/>
          <w:szCs w:val="22"/>
          <w:highlight w:val="none"/>
          <w:lang w:val="en-US" w:eastAsia="zh-CN" w:bidi="ar-SA"/>
        </w:rPr>
      </w:pPr>
      <w:r>
        <w:rPr>
          <w:rFonts w:hint="eastAsia" w:ascii="Times New Roman" w:hAnsi="Times New Roman" w:eastAsia="仿宋_GB2312" w:cs="仿宋_GB2312"/>
          <w:kern w:val="2"/>
          <w:sz w:val="32"/>
          <w:szCs w:val="22"/>
          <w:highlight w:val="none"/>
          <w:lang w:val="en-US" w:eastAsia="zh-CN" w:bidi="ar-SA"/>
        </w:rPr>
        <w:t>9.承办区委、区政府交办的其他事项。</w:t>
      </w:r>
    </w:p>
    <w:p>
      <w:pP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w:t>
      </w:r>
      <w:r>
        <w:rPr>
          <w:rFonts w:hint="eastAsia" w:ascii="Times New Roman" w:hAnsi="Times New Roman" w:eastAsia="楷体_GB2312" w:cs="Times New Roman"/>
          <w:b/>
          <w:sz w:val="32"/>
          <w:szCs w:val="32"/>
          <w:highlight w:val="none"/>
          <w:lang w:eastAsia="zh-CN"/>
        </w:rPr>
        <w:t>广安市前锋区旅游发展服务中心2025</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重点工作。</w:t>
      </w:r>
    </w:p>
    <w:p>
      <w:pPr>
        <w:spacing w:line="600" w:lineRule="exact"/>
        <w:ind w:firstLine="660" w:firstLineChars="200"/>
        <w:rPr>
          <w:rFonts w:hint="eastAsia" w:ascii="Times New Roman" w:hAnsi="Times New Roman" w:eastAsia="方正仿宋_GBK" w:cs="方正仿宋_GBK"/>
          <w:b w:val="0"/>
          <w:bCs w:val="0"/>
          <w:color w:val="auto"/>
          <w:spacing w:val="0"/>
          <w:kern w:val="2"/>
          <w:sz w:val="33"/>
          <w:szCs w:val="33"/>
          <w:lang w:val="en-US" w:eastAsia="zh-CN" w:bidi="ar-SA"/>
        </w:rPr>
      </w:pPr>
      <w:r>
        <w:rPr>
          <w:rFonts w:hint="eastAsia" w:ascii="Times New Roman" w:hAnsi="Times New Roman" w:eastAsia="方正仿宋_GBK" w:cs="方正仿宋_GBK"/>
          <w:b w:val="0"/>
          <w:bCs w:val="0"/>
          <w:color w:val="auto"/>
          <w:spacing w:val="0"/>
          <w:kern w:val="2"/>
          <w:sz w:val="33"/>
          <w:szCs w:val="33"/>
          <w:lang w:val="en-US" w:eastAsia="zh-CN" w:bidi="ar-SA"/>
        </w:rPr>
        <w:t>（1）抓项目建设。力争2025年6月四方山康养旅游度假区开门迎客。康养养老中心2025年5月完成内部装饰装修，6月底试运营。森林树屋、露营基地12月底完成建设并试营业，森林树屋、露营基地服务中心2025年5月完成装饰装修；宕渠双竹连响非遗体验基地项目，力争12月底完成项目建设。四方山水厂、污水处理站12月底完成建设与设施设备调试。四方山ABCD环形12月底完成交安工程、绿化并通车。</w:t>
      </w:r>
    </w:p>
    <w:p>
      <w:pPr>
        <w:spacing w:line="600" w:lineRule="exact"/>
        <w:ind w:firstLine="660" w:firstLineChars="200"/>
        <w:rPr>
          <w:rFonts w:hint="eastAsia" w:ascii="Times New Roman" w:hAnsi="Times New Roman" w:eastAsia="方正仿宋_GBK" w:cs="方正仿宋_GBK"/>
          <w:b w:val="0"/>
          <w:bCs w:val="0"/>
          <w:color w:val="auto"/>
          <w:spacing w:val="0"/>
          <w:kern w:val="2"/>
          <w:sz w:val="33"/>
          <w:szCs w:val="33"/>
          <w:lang w:val="en-US" w:eastAsia="zh-CN" w:bidi="ar-SA"/>
        </w:rPr>
      </w:pPr>
      <w:r>
        <w:rPr>
          <w:rFonts w:hint="eastAsia" w:ascii="Times New Roman" w:hAnsi="Times New Roman" w:eastAsia="方正仿宋_GBK" w:cs="方正仿宋_GBK"/>
          <w:b w:val="0"/>
          <w:bCs w:val="0"/>
          <w:color w:val="auto"/>
          <w:spacing w:val="0"/>
          <w:kern w:val="2"/>
          <w:sz w:val="33"/>
          <w:szCs w:val="33"/>
          <w:lang w:val="en-US" w:eastAsia="zh-CN" w:bidi="ar-SA"/>
        </w:rPr>
        <w:t>（2）抓品牌打造。华蓥山四方山段独特自然风光与“上山上”民宿品牌影响力叠加，打造四方山民宿翘楚；以声光科技赋能旅游新业态，打造沉浸式森林夜游项目；借助前锋轻工优势制作旅游商品服饰，助力“前锋潮牌”品牌推广；借助四川农业大学、四川茶叶集团力量，推广富锶红骨山羊、富锶白茶、柚花茶、广安松针，唱响“锶茶原乡·四方山居”品牌。</w:t>
      </w:r>
    </w:p>
    <w:p>
      <w:pPr>
        <w:spacing w:line="600" w:lineRule="exact"/>
        <w:ind w:firstLine="660" w:firstLineChars="200"/>
        <w:rPr>
          <w:rFonts w:hint="eastAsia" w:ascii="Times New Roman" w:hAnsi="Times New Roman" w:eastAsia="方正仿宋_GBK" w:cs="方正仿宋_GBK"/>
          <w:b w:val="0"/>
          <w:bCs w:val="0"/>
          <w:color w:val="auto"/>
          <w:spacing w:val="0"/>
          <w:kern w:val="2"/>
          <w:sz w:val="33"/>
          <w:szCs w:val="33"/>
          <w:lang w:val="en-US" w:eastAsia="zh-CN" w:bidi="ar-SA"/>
        </w:rPr>
      </w:pPr>
      <w:r>
        <w:rPr>
          <w:rFonts w:hint="eastAsia" w:ascii="Times New Roman" w:hAnsi="Times New Roman" w:eastAsia="方正仿宋_GBK" w:cs="方正仿宋_GBK"/>
          <w:b w:val="0"/>
          <w:bCs w:val="0"/>
          <w:color w:val="auto"/>
          <w:spacing w:val="0"/>
          <w:kern w:val="2"/>
          <w:sz w:val="33"/>
          <w:szCs w:val="33"/>
          <w:lang w:val="en-US" w:eastAsia="zh-CN" w:bidi="ar-SA"/>
        </w:rPr>
        <w:t>（3）抓招商引资。抓项目招引，开展“走出去、引进来”的招商引资工作，引进大型央企国企及社会资本，开辟“投融建管运”五位一体发展路径。抓合同签订，加快对接浙江吾乡文化旅游发展有限公司，力争早日签订合作协议。抓开工建设，加快对接成都卓越智慧品牌管理有限公司，尽快开工建设上山上·慕光民宿。抓项目落地，加快对接重庆市酒店协会，加快康养养老中心装修施工进度，早日投入运营。</w:t>
      </w:r>
    </w:p>
    <w:p>
      <w:pPr>
        <w:spacing w:line="600" w:lineRule="exact"/>
        <w:ind w:firstLine="660" w:firstLineChars="200"/>
        <w:rPr>
          <w:rFonts w:hint="eastAsia" w:ascii="Times New Roman" w:hAnsi="Times New Roman" w:eastAsia="方正仿宋_GBK" w:cs="方正仿宋_GBK"/>
          <w:b w:val="0"/>
          <w:bCs w:val="0"/>
          <w:color w:val="auto"/>
          <w:spacing w:val="0"/>
          <w:kern w:val="2"/>
          <w:sz w:val="33"/>
          <w:szCs w:val="33"/>
          <w:lang w:val="en-US" w:eastAsia="zh-CN" w:bidi="ar-SA"/>
        </w:rPr>
      </w:pPr>
      <w:r>
        <w:rPr>
          <w:rFonts w:hint="eastAsia" w:ascii="Times New Roman" w:hAnsi="Times New Roman" w:eastAsia="方正仿宋_GBK" w:cs="方正仿宋_GBK"/>
          <w:b w:val="0"/>
          <w:bCs w:val="0"/>
          <w:color w:val="auto"/>
          <w:spacing w:val="0"/>
          <w:kern w:val="2"/>
          <w:sz w:val="33"/>
          <w:szCs w:val="33"/>
          <w:lang w:val="en-US" w:eastAsia="zh-CN" w:bidi="ar-SA"/>
        </w:rPr>
        <w:t>（4）抓企业培育。加快推动成都卓越智慧品牌管理有限公司、浙江吾乡文化旅游发展有限公司与国企合作成立公司，依托核心业务，力争培育成型文旅企业2个，重点培育广安久旅健康管理有限公司，力争培育规上文旅企业1个。</w:t>
      </w:r>
    </w:p>
    <w:p>
      <w:pPr>
        <w:spacing w:line="600" w:lineRule="exact"/>
        <w:ind w:firstLine="660" w:firstLineChars="200"/>
        <w:rPr>
          <w:rFonts w:hint="eastAsia" w:ascii="Times New Roman" w:hAnsi="Times New Roman" w:eastAsia="方正仿宋_GBK" w:cs="方正仿宋_GBK"/>
          <w:b w:val="0"/>
          <w:bCs w:val="0"/>
          <w:color w:val="auto"/>
          <w:spacing w:val="0"/>
          <w:kern w:val="2"/>
          <w:sz w:val="33"/>
          <w:szCs w:val="33"/>
          <w:lang w:val="en-US" w:eastAsia="zh-CN" w:bidi="ar-SA"/>
        </w:rPr>
      </w:pPr>
      <w:r>
        <w:rPr>
          <w:rFonts w:hint="eastAsia" w:ascii="Times New Roman" w:hAnsi="Times New Roman" w:eastAsia="方正仿宋_GBK" w:cs="方正仿宋_GBK"/>
          <w:b w:val="0"/>
          <w:bCs w:val="0"/>
          <w:color w:val="auto"/>
          <w:spacing w:val="0"/>
          <w:kern w:val="2"/>
          <w:sz w:val="33"/>
          <w:szCs w:val="33"/>
          <w:lang w:val="en-US" w:eastAsia="zh-CN" w:bidi="ar-SA"/>
        </w:rPr>
        <w:t>（5）抓乡村旅游。以集中连片特色产业为基础，大力发展乡村旅游，在桂兴、龙滩以茶叶采摘、高山蔬菜农业发展农旅体验旅游；在观塘、代市以稻田观光、桃园赏花发展观光休闲旅游；在广兴、观阁以赏花畅游、特色餐饮发展花卉特色旅游，结合非遗表演和特色民俗，引导省市乡村旅游示范村和特色农家乐发展周末游、近郊游经济，高质量发展乡村旅游。</w:t>
      </w:r>
    </w:p>
    <w:p>
      <w:pPr>
        <w:spacing w:line="600" w:lineRule="exact"/>
        <w:ind w:firstLine="660" w:firstLineChars="200"/>
        <w:rPr>
          <w:rFonts w:hint="eastAsia" w:ascii="Times New Roman" w:hAnsi="Times New Roman" w:eastAsia="方正仿宋_GBK" w:cs="方正仿宋_GBK"/>
          <w:b w:val="0"/>
          <w:bCs w:val="0"/>
          <w:color w:val="auto"/>
          <w:spacing w:val="0"/>
          <w:kern w:val="2"/>
          <w:sz w:val="33"/>
          <w:szCs w:val="33"/>
          <w:lang w:val="en-US" w:eastAsia="zh-CN" w:bidi="ar-SA"/>
        </w:rPr>
      </w:pPr>
      <w:r>
        <w:rPr>
          <w:rFonts w:hint="eastAsia" w:ascii="Times New Roman" w:hAnsi="Times New Roman" w:eastAsia="方正仿宋_GBK" w:cs="方正仿宋_GBK"/>
          <w:b w:val="0"/>
          <w:bCs w:val="0"/>
          <w:color w:val="auto"/>
          <w:spacing w:val="0"/>
          <w:kern w:val="2"/>
          <w:sz w:val="33"/>
          <w:szCs w:val="33"/>
          <w:lang w:val="en-US" w:eastAsia="zh-CN" w:bidi="ar-SA"/>
        </w:rPr>
        <w:t>（6）抓宣传推介。运用省市两级平台资源，参加“美丽四川”“安逸走四川”等大型旅游宣传推介活动，提升前锋旅游知名度。创新线上旅游宣传模式，吸引抖音、快手等网络平台达人，运用自媒体渠道发布系列旅游宣传短视频，提升前锋旅游传播度。举办前锋旅游摄像摄影大赛，吸引广大摄影爱好者前来采风，获奖作品在权威媒体公布，提升前锋旅游影响力。</w:t>
      </w:r>
    </w:p>
    <w:p>
      <w:pPr>
        <w:spacing w:line="600" w:lineRule="exact"/>
        <w:ind w:firstLine="660" w:firstLineChars="200"/>
        <w:rPr>
          <w:rFonts w:hint="eastAsia" w:ascii="Times New Roman" w:hAnsi="Times New Roman" w:eastAsia="方正仿宋_GBK" w:cs="方正仿宋_GBK"/>
          <w:b w:val="0"/>
          <w:bCs w:val="0"/>
          <w:color w:val="auto"/>
          <w:spacing w:val="0"/>
          <w:kern w:val="2"/>
          <w:sz w:val="33"/>
          <w:szCs w:val="33"/>
          <w:lang w:val="en-US" w:eastAsia="zh-CN" w:bidi="ar-SA"/>
        </w:rPr>
      </w:pPr>
      <w:r>
        <w:rPr>
          <w:rFonts w:hint="eastAsia" w:ascii="Times New Roman" w:hAnsi="Times New Roman" w:eastAsia="方正仿宋_GBK" w:cs="方正仿宋_GBK"/>
          <w:b w:val="0"/>
          <w:bCs w:val="0"/>
          <w:color w:val="auto"/>
          <w:spacing w:val="0"/>
          <w:kern w:val="2"/>
          <w:sz w:val="33"/>
          <w:szCs w:val="33"/>
          <w:lang w:val="en-US" w:eastAsia="zh-CN" w:bidi="ar-SA"/>
        </w:rPr>
        <w:t>（7）抓重大活动。筹划举办四方山帐篷音乐节、露天音乐节，结合四方山康养优势，由广安久旅健康管理有限</w:t>
      </w:r>
      <w:bookmarkStart w:id="0" w:name="_GoBack"/>
      <w:bookmarkEnd w:id="0"/>
      <w:r>
        <w:rPr>
          <w:rFonts w:hint="eastAsia" w:ascii="Times New Roman" w:hAnsi="Times New Roman" w:eastAsia="方正仿宋_GBK" w:cs="方正仿宋_GBK"/>
          <w:b w:val="0"/>
          <w:bCs w:val="0"/>
          <w:color w:val="auto"/>
          <w:spacing w:val="0"/>
          <w:kern w:val="2"/>
          <w:sz w:val="33"/>
          <w:szCs w:val="33"/>
          <w:lang w:val="en-US" w:eastAsia="zh-CN" w:bidi="ar-SA"/>
        </w:rPr>
        <w:t>公司牵头，借助音乐节对青年人的吸引辐射能力，全方位推介四方山康养旅游度假区，有效提升知名度。根据农业区位优势差异，桂兴镇举办桂兴羊肉节、脆李采摘节，观塘镇举办秋季稻田摄影大赛，代市镇举办代市桃花节，广兴镇举办荷花节，吸引广大游客共同参与，促销各类农产品，实现农旅融合发展。</w:t>
      </w:r>
    </w:p>
    <w:p>
      <w:pPr>
        <w:pStyle w:val="2"/>
        <w:rPr>
          <w:rFonts w:hint="eastAsia"/>
          <w:lang w:val="en-US" w:eastAsia="zh-CN"/>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pPr>
        <w:suppressAutoHyphens/>
        <w:bidi w:val="0"/>
        <w:spacing w:line="580" w:lineRule="exact"/>
        <w:ind w:firstLine="640" w:firstLineChars="200"/>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highlight w:val="none"/>
          <w:lang w:eastAsia="zh-CN"/>
        </w:rPr>
        <w:t>广安市前锋区旅游发展服务中心</w:t>
      </w:r>
      <w:r>
        <w:rPr>
          <w:rFonts w:hint="default" w:ascii="Times New Roman" w:hAnsi="Times New Roman" w:eastAsia="仿宋_GB2312" w:cs="Times New Roman"/>
          <w:sz w:val="32"/>
          <w:highlight w:val="none"/>
        </w:rPr>
        <w:t>下属其他事业单位</w:t>
      </w:r>
      <w:r>
        <w:rPr>
          <w:rFonts w:hint="eastAsia" w:ascii="Times New Roman" w:hAnsi="Times New Roman" w:eastAsia="仿宋_GB2312" w:cs="Times New Roman"/>
          <w:sz w:val="32"/>
          <w:highlight w:val="none"/>
          <w:lang w:val="en-US" w:eastAsia="zh-CN"/>
        </w:rPr>
        <w:t>1</w:t>
      </w:r>
      <w:r>
        <w:rPr>
          <w:rFonts w:hint="default" w:ascii="Times New Roman" w:hAnsi="Times New Roman" w:eastAsia="仿宋_GB2312" w:cs="Times New Roman"/>
          <w:sz w:val="32"/>
          <w:highlight w:val="none"/>
        </w:rPr>
        <w:t>个</w:t>
      </w:r>
      <w:r>
        <w:rPr>
          <w:rFonts w:hint="eastAsia" w:ascii="Times New Roman" w:hAnsi="Times New Roman" w:eastAsia="仿宋_GB2312" w:cs="Times New Roman"/>
          <w:sz w:val="32"/>
          <w:highlight w:val="none"/>
          <w:lang w:eastAsia="zh-CN"/>
        </w:rPr>
        <w:t>，为广安市前锋区旅游发展服务中心</w:t>
      </w:r>
      <w:r>
        <w:rPr>
          <w:rFonts w:hint="default" w:ascii="Times New Roman" w:hAnsi="Times New Roman" w:eastAsia="仿宋_GB2312" w:cs="Times New Roman"/>
          <w:sz w:val="32"/>
          <w:highlight w:val="none"/>
          <w:lang w:eastAsia="zh-CN"/>
        </w:rPr>
        <w:t>机关</w:t>
      </w:r>
      <w:r>
        <w:rPr>
          <w:rFonts w:hint="eastAsia" w:ascii="Times New Roman" w:hAnsi="Times New Roman" w:eastAsia="仿宋_GB2312" w:cs="Times New Roman"/>
          <w:sz w:val="32"/>
          <w:highlight w:val="none"/>
          <w:lang w:val="en-US" w:eastAsia="zh-CN"/>
        </w:rPr>
        <w:t>，</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内设</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w:t>
      </w:r>
      <w:r>
        <w:rPr>
          <w:rFonts w:hint="eastAsia" w:ascii="Times New Roman" w:hAnsi="Times New Roman" w:eastAsia="仿宋_GB2312" w:cs="Times New Roman"/>
          <w:sz w:val="32"/>
          <w:szCs w:val="32"/>
          <w:highlight w:val="none"/>
          <w:lang w:eastAsia="zh-CN"/>
        </w:rPr>
        <w:t>股室，</w:t>
      </w:r>
      <w:r>
        <w:rPr>
          <w:rFonts w:hint="default" w:ascii="Times New Roman" w:hAnsi="Times New Roman" w:eastAsia="仿宋_GB2312" w:cs="Times New Roman"/>
          <w:sz w:val="32"/>
          <w:szCs w:val="32"/>
          <w:highlight w:val="none"/>
        </w:rPr>
        <w:t>主要包括</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办公室、规划发展股、建设管理股。</w:t>
      </w:r>
    </w:p>
    <w:p>
      <w:pPr>
        <w:pStyle w:val="2"/>
        <w:adjustRightInd w:val="0"/>
        <w:spacing w:before="130" w:line="580" w:lineRule="exact"/>
        <w:ind w:firstLine="590" w:firstLineChars="210"/>
        <w:rPr>
          <w:rFonts w:hint="default" w:ascii="Times New Roman" w:hAnsi="Times New Roman" w:eastAsia="楷体" w:cs="Times New Roman"/>
          <w:b/>
          <w:color w:val="FF0000"/>
          <w:sz w:val="28"/>
          <w:szCs w:val="32"/>
          <w:highlight w:val="none"/>
        </w:rPr>
      </w:pPr>
    </w:p>
    <w:p>
      <w:pPr>
        <w:rPr>
          <w:rFonts w:hint="default" w:ascii="Times New Roman" w:hAnsi="Times New Roman" w:eastAsia="楷体" w:cs="Times New Roman"/>
          <w:b/>
          <w:color w:val="FF0000"/>
          <w:sz w:val="28"/>
          <w:szCs w:val="32"/>
          <w:highlight w:val="none"/>
        </w:rPr>
      </w:pPr>
      <w:r>
        <w:rPr>
          <w:rFonts w:hint="default" w:ascii="Times New Roman" w:hAnsi="Times New Roman" w:eastAsia="楷体" w:cs="Times New Roman"/>
          <w:b/>
          <w:color w:val="FF0000"/>
          <w:sz w:val="28"/>
          <w:szCs w:val="32"/>
          <w:highlight w:val="none"/>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广安市前锋区旅游发展服务中心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2025年部门预算情况说明</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sz w:val="32"/>
          <w:szCs w:val="32"/>
          <w:highlight w:val="none"/>
        </w:rPr>
        <w:t>按照综合预算的原则，</w:t>
      </w:r>
      <w:r>
        <w:rPr>
          <w:rFonts w:hint="eastAsia" w:ascii="Times New Roman" w:hAnsi="Times New Roman" w:eastAsia="仿宋_GB2312" w:cs="Times New Roman"/>
          <w:sz w:val="32"/>
          <w:szCs w:val="32"/>
          <w:highlight w:val="none"/>
          <w:u w:val="none"/>
          <w:lang w:eastAsia="zh-CN"/>
        </w:rPr>
        <w:t>旅游发展服务中心</w:t>
      </w:r>
      <w:r>
        <w:rPr>
          <w:rFonts w:hint="default" w:ascii="Times New Roman" w:hAnsi="Times New Roman" w:eastAsia="仿宋_GB2312" w:cs="Times New Roman"/>
          <w:sz w:val="32"/>
          <w:szCs w:val="32"/>
          <w:highlight w:val="none"/>
        </w:rPr>
        <w:t>所有收入和支出均纳入</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预算管理。收入包括：一般公共预算拨款收入237.49</w:t>
      </w:r>
      <w:r>
        <w:rPr>
          <w:rFonts w:hint="eastAsia"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上年结转收入8.57万元</w:t>
      </w:r>
      <w:r>
        <w:rPr>
          <w:rFonts w:hint="default" w:ascii="Times New Roman" w:hAnsi="Times New Roman" w:eastAsia="仿宋_GB2312" w:cs="Times New Roman"/>
          <w:sz w:val="32"/>
          <w:szCs w:val="32"/>
          <w:highlight w:val="none"/>
        </w:rPr>
        <w:t>；支出包括：文化旅游体育与传媒支出206.04</w:t>
      </w:r>
      <w:r>
        <w:rPr>
          <w:rFonts w:hint="eastAsia"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、社会保障和就业支出18.36</w:t>
      </w:r>
      <w:r>
        <w:rPr>
          <w:rFonts w:hint="eastAsia" w:ascii="Times New Roman" w:hAnsi="Times New Roman" w:eastAsia="仿宋_GB2312" w:cs="Times New Roman"/>
          <w:sz w:val="32"/>
          <w:szCs w:val="32"/>
          <w:highlight w:val="none"/>
          <w:lang w:eastAsia="zh-CN"/>
        </w:rPr>
        <w:t>万元、卫生健康支出6.12万元</w:t>
      </w:r>
      <w:r>
        <w:rPr>
          <w:rFonts w:hint="eastAsia" w:ascii="Times New Roman" w:hAnsi="Times New Roman" w:eastAsia="仿宋_GB2312" w:cs="Times New Roman"/>
          <w:color w:val="auto"/>
          <w:sz w:val="32"/>
          <w:szCs w:val="32"/>
          <w:highlight w:val="none"/>
          <w:lang w:eastAsia="zh-CN"/>
        </w:rPr>
        <w:t>、住房保障支出15.54万元</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u w:val="none"/>
          <w:lang w:eastAsia="zh-CN"/>
        </w:rPr>
        <w:t>旅游发展服务中心</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收支预算</w:t>
      </w:r>
      <w:r>
        <w:rPr>
          <w:rFonts w:hint="default" w:ascii="Times New Roman" w:hAnsi="Times New Roman" w:eastAsia="仿宋_GB2312" w:cs="Times New Roman"/>
          <w:color w:val="auto"/>
          <w:sz w:val="32"/>
          <w:szCs w:val="32"/>
          <w:highlight w:val="none"/>
          <w:lang w:eastAsia="zh-CN"/>
        </w:rPr>
        <w:t>总数</w:t>
      </w:r>
      <w:r>
        <w:rPr>
          <w:rFonts w:hint="eastAsia" w:ascii="Times New Roman" w:hAnsi="Times New Roman" w:eastAsia="仿宋_GB2312" w:cs="Times New Roman"/>
          <w:color w:val="auto"/>
          <w:sz w:val="32"/>
          <w:szCs w:val="32"/>
          <w:highlight w:val="none"/>
          <w:lang w:eastAsia="zh-CN"/>
        </w:rPr>
        <w:t>246.07</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比</w:t>
      </w:r>
      <w:r>
        <w:rPr>
          <w:rFonts w:hint="eastAsia" w:ascii="Times New Roman" w:hAnsi="Times New Roman" w:eastAsia="仿宋_GB2312" w:cs="Times New Roman"/>
          <w:color w:val="auto"/>
          <w:sz w:val="32"/>
          <w:szCs w:val="32"/>
          <w:highlight w:val="none"/>
          <w:lang w:eastAsia="zh-CN"/>
        </w:rPr>
        <w:t>2024年</w:t>
      </w:r>
      <w:r>
        <w:rPr>
          <w:rFonts w:hint="default" w:ascii="Times New Roman" w:hAnsi="Times New Roman" w:eastAsia="仿宋_GB2312" w:cs="Times New Roman"/>
          <w:color w:val="auto"/>
          <w:sz w:val="32"/>
          <w:szCs w:val="32"/>
          <w:highlight w:val="none"/>
        </w:rPr>
        <w:t>收支预算</w:t>
      </w:r>
      <w:r>
        <w:rPr>
          <w:rFonts w:hint="default" w:ascii="Times New Roman" w:hAnsi="Times New Roman" w:eastAsia="仿宋_GB2312" w:cs="Times New Roman"/>
          <w:color w:val="auto"/>
          <w:sz w:val="32"/>
          <w:szCs w:val="32"/>
          <w:highlight w:val="none"/>
          <w:lang w:eastAsia="zh-CN"/>
        </w:rPr>
        <w:t>总数</w:t>
      </w:r>
      <w:r>
        <w:rPr>
          <w:rFonts w:hint="eastAsia" w:ascii="Times New Roman" w:hAnsi="Times New Roman" w:eastAsia="仿宋_GB2312" w:cs="Times New Roman"/>
          <w:color w:val="auto"/>
          <w:sz w:val="32"/>
          <w:szCs w:val="32"/>
          <w:highlight w:val="none"/>
          <w:lang w:eastAsia="zh-CN"/>
        </w:rPr>
        <w:t>1093.11</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847.04</w:t>
      </w:r>
      <w:r>
        <w:rPr>
          <w:rFonts w:hint="default" w:ascii="Times New Roman" w:hAnsi="Times New Roman" w:eastAsia="仿宋_GB2312" w:cs="Times New Roman"/>
          <w:color w:val="auto"/>
          <w:sz w:val="32"/>
          <w:szCs w:val="32"/>
          <w:highlight w:val="none"/>
        </w:rPr>
        <w:t>万元，主要原因是</w:t>
      </w:r>
      <w:r>
        <w:rPr>
          <w:rFonts w:hint="eastAsia" w:ascii="Times New Roman" w:hAnsi="Times New Roman" w:eastAsia="仿宋_GB2312" w:cs="Times New Roman"/>
          <w:color w:val="auto"/>
          <w:sz w:val="32"/>
          <w:szCs w:val="32"/>
          <w:highlight w:val="none"/>
          <w:lang w:val="en-US" w:eastAsia="zh-CN"/>
        </w:rPr>
        <w:t>2025年项目支出减少，在编人员减少1人，劳务派遣人员减少2人</w:t>
      </w:r>
      <w:r>
        <w:rPr>
          <w:rFonts w:hint="default" w:ascii="Times New Roman" w:hAnsi="Times New Roman" w:eastAsia="仿宋_GB2312" w:cs="Times New Roman"/>
          <w:color w:val="auto"/>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（一）收入预算情况</w:t>
      </w:r>
    </w:p>
    <w:p>
      <w:pPr>
        <w:numPr>
          <w:ilvl w:val="0"/>
          <w:numId w:val="0"/>
        </w:numP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none"/>
          <w:lang w:eastAsia="zh-CN"/>
        </w:rPr>
        <w:t>旅游发展服务中心</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收入预算</w:t>
      </w:r>
      <w:r>
        <w:rPr>
          <w:rFonts w:hint="eastAsia" w:ascii="Times New Roman" w:hAnsi="Times New Roman" w:eastAsia="仿宋_GB2312" w:cs="Times New Roman"/>
          <w:color w:val="auto"/>
          <w:sz w:val="32"/>
          <w:szCs w:val="32"/>
          <w:highlight w:val="none"/>
          <w:lang w:eastAsia="zh-CN"/>
        </w:rPr>
        <w:t>246.07</w:t>
      </w:r>
      <w:r>
        <w:rPr>
          <w:rFonts w:hint="default" w:ascii="Times New Roman" w:hAnsi="Times New Roman" w:eastAsia="仿宋_GB2312" w:cs="Times New Roman"/>
          <w:color w:val="auto"/>
          <w:sz w:val="32"/>
          <w:szCs w:val="32"/>
          <w:highlight w:val="none"/>
        </w:rPr>
        <w:t>万元，其中：一般公共预算拨款收入237.49万元，占</w:t>
      </w:r>
      <w:r>
        <w:rPr>
          <w:rFonts w:hint="eastAsia" w:ascii="Times New Roman" w:hAnsi="Times New Roman" w:eastAsia="仿宋_GB2312" w:cs="Times New Roman"/>
          <w:color w:val="auto"/>
          <w:sz w:val="32"/>
          <w:szCs w:val="32"/>
          <w:highlight w:val="none"/>
          <w:lang w:val="en-US" w:eastAsia="zh-CN"/>
        </w:rPr>
        <w:t>96.51%</w:t>
      </w:r>
      <w:r>
        <w:rPr>
          <w:rFonts w:hint="default" w:ascii="Times New Roman" w:hAnsi="Times New Roman" w:eastAsia="仿宋_GB2312" w:cs="Times New Roman"/>
          <w:color w:val="auto"/>
          <w:sz w:val="32"/>
          <w:szCs w:val="32"/>
          <w:highlight w:val="none"/>
        </w:rPr>
        <w:t>；上年结转</w:t>
      </w:r>
      <w:r>
        <w:rPr>
          <w:rFonts w:hint="eastAsia" w:ascii="Times New Roman" w:hAnsi="Times New Roman" w:eastAsia="仿宋_GB2312" w:cs="Times New Roman"/>
          <w:color w:val="auto"/>
          <w:sz w:val="32"/>
          <w:szCs w:val="32"/>
          <w:highlight w:val="none"/>
          <w:lang w:eastAsia="zh-CN"/>
        </w:rPr>
        <w:t>8.57</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3.48%</w:t>
      </w:r>
      <w:r>
        <w:rPr>
          <w:rFonts w:hint="default" w:ascii="Times New Roman" w:hAnsi="Times New Roman" w:eastAsia="仿宋_GB2312" w:cs="Times New Roman"/>
          <w:color w:val="auto"/>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u w:val="none"/>
          <w:lang w:eastAsia="zh-CN"/>
        </w:rPr>
        <w:t>旅游发展服务中心</w:t>
      </w:r>
      <w:r>
        <w:rPr>
          <w:rFonts w:hint="default"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支出预算</w:t>
      </w:r>
      <w:r>
        <w:rPr>
          <w:rFonts w:hint="eastAsia" w:ascii="Times New Roman" w:hAnsi="Times New Roman" w:eastAsia="仿宋_GB2312" w:cs="Times New Roman"/>
          <w:sz w:val="32"/>
          <w:szCs w:val="32"/>
          <w:highlight w:val="none"/>
          <w:lang w:eastAsia="zh-CN"/>
        </w:rPr>
        <w:t>246.07</w:t>
      </w:r>
      <w:r>
        <w:rPr>
          <w:rFonts w:hint="default" w:ascii="Times New Roman" w:hAnsi="Times New Roman" w:eastAsia="仿宋_GB2312" w:cs="Times New Roman"/>
          <w:sz w:val="32"/>
          <w:szCs w:val="32"/>
          <w:highlight w:val="none"/>
        </w:rPr>
        <w:t>万元，其中：基本支出</w:t>
      </w:r>
      <w:r>
        <w:rPr>
          <w:rFonts w:hint="eastAsia" w:ascii="Times New Roman" w:hAnsi="Times New Roman" w:eastAsia="仿宋_GB2312" w:cs="Times New Roman"/>
          <w:sz w:val="32"/>
          <w:szCs w:val="32"/>
          <w:highlight w:val="none"/>
          <w:lang w:eastAsia="zh-CN"/>
        </w:rPr>
        <w:t>167.49</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u w:val="none"/>
        </w:rPr>
        <w:t>68.07%</w:t>
      </w:r>
      <w:r>
        <w:rPr>
          <w:rFonts w:hint="default" w:ascii="Times New Roman" w:hAnsi="Times New Roman" w:eastAsia="仿宋_GB2312" w:cs="Times New Roman"/>
          <w:sz w:val="32"/>
          <w:szCs w:val="32"/>
          <w:highlight w:val="none"/>
        </w:rPr>
        <w:t>；项目支出</w:t>
      </w:r>
      <w:r>
        <w:rPr>
          <w:rFonts w:hint="eastAsia" w:ascii="Times New Roman" w:hAnsi="Times New Roman" w:eastAsia="仿宋_GB2312" w:cs="Times New Roman"/>
          <w:sz w:val="32"/>
          <w:szCs w:val="32"/>
          <w:highlight w:val="none"/>
          <w:lang w:eastAsia="zh-CN"/>
        </w:rPr>
        <w:t>78.57</w:t>
      </w:r>
      <w:r>
        <w:rPr>
          <w:rFonts w:hint="default" w:ascii="Times New Roman" w:hAnsi="Times New Roman" w:eastAsia="仿宋_GB2312" w:cs="Times New Roman"/>
          <w:sz w:val="32"/>
          <w:szCs w:val="32"/>
          <w:highlight w:val="none"/>
        </w:rPr>
        <w:t>万元，占</w:t>
      </w:r>
      <w:r>
        <w:rPr>
          <w:rFonts w:hint="default" w:ascii="Times New Roman" w:hAnsi="Times New Roman" w:eastAsia="仿宋_GB2312" w:cs="Times New Roman"/>
          <w:sz w:val="32"/>
          <w:szCs w:val="32"/>
          <w:highlight w:val="none"/>
          <w:u w:val="none"/>
        </w:rPr>
        <w:t>31.93%。</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u w:val="none"/>
          <w:lang w:eastAsia="zh-CN"/>
        </w:rPr>
        <w:t>旅游发展服务中心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color w:val="auto"/>
          <w:sz w:val="32"/>
          <w:szCs w:val="32"/>
          <w:highlight w:val="none"/>
          <w:lang w:eastAsia="zh-CN"/>
        </w:rPr>
        <w:t>246.07</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财政拨款收支预算</w:t>
      </w:r>
      <w:r>
        <w:rPr>
          <w:rFonts w:hint="default" w:ascii="Times New Roman" w:hAnsi="Times New Roman" w:eastAsia="仿宋_GB2312" w:cs="Times New Roman"/>
          <w:sz w:val="32"/>
          <w:szCs w:val="32"/>
          <w:highlight w:val="none"/>
          <w:lang w:eastAsia="zh-CN"/>
        </w:rPr>
        <w:t>总数</w:t>
      </w:r>
      <w:r>
        <w:rPr>
          <w:rFonts w:hint="eastAsia" w:ascii="Times New Roman" w:hAnsi="Times New Roman" w:eastAsia="仿宋_GB2312" w:cs="Times New Roman"/>
          <w:color w:val="auto"/>
          <w:sz w:val="32"/>
          <w:szCs w:val="32"/>
          <w:highlight w:val="none"/>
          <w:lang w:eastAsia="zh-CN"/>
        </w:rPr>
        <w:t>1093.11万元减少</w:t>
      </w:r>
      <w:r>
        <w:rPr>
          <w:rFonts w:hint="eastAsia" w:ascii="Times New Roman" w:hAnsi="Times New Roman" w:eastAsia="仿宋_GB2312" w:cs="Times New Roman"/>
          <w:color w:val="auto"/>
          <w:sz w:val="32"/>
          <w:szCs w:val="32"/>
          <w:highlight w:val="none"/>
          <w:lang w:val="en-US" w:eastAsia="zh-CN"/>
        </w:rPr>
        <w:t>847.04</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color w:val="auto"/>
          <w:sz w:val="32"/>
          <w:szCs w:val="32"/>
          <w:highlight w:val="none"/>
          <w:lang w:val="en-US" w:eastAsia="zh-CN"/>
        </w:rPr>
        <w:t>2025年项目支出减少，在编人员减少1人，劳务派遣人员减少2人</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eastAsia" w:ascii="Times New Roman" w:hAnsi="Times New Roman" w:eastAsia="仿宋_GB2312" w:cs="Times New Roman"/>
          <w:sz w:val="32"/>
          <w:szCs w:val="32"/>
          <w:highlight w:val="none"/>
          <w:u w:val="single"/>
          <w:lang w:eastAsia="zh-CN"/>
        </w:rPr>
      </w:pPr>
      <w:r>
        <w:rPr>
          <w:rFonts w:hint="default" w:ascii="Times New Roman" w:hAnsi="Times New Roman" w:eastAsia="仿宋_GB2312" w:cs="Times New Roman"/>
          <w:sz w:val="32"/>
          <w:szCs w:val="32"/>
          <w:highlight w:val="none"/>
        </w:rPr>
        <w:t>收入包括：本年一般公共预算拨款收入</w:t>
      </w:r>
      <w:r>
        <w:rPr>
          <w:rFonts w:hint="default" w:ascii="Times New Roman" w:hAnsi="Times New Roman" w:eastAsia="仿宋_GB2312" w:cs="Times New Roman"/>
          <w:sz w:val="32"/>
          <w:szCs w:val="32"/>
          <w:highlight w:val="none"/>
          <w:lang w:val="en-US" w:eastAsia="zh-CN"/>
        </w:rPr>
        <w:t>237.49</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上年</w:t>
      </w:r>
      <w:r>
        <w:rPr>
          <w:rFonts w:hint="eastAsia" w:ascii="Times New Roman" w:hAnsi="Times New Roman" w:eastAsia="仿宋_GB2312" w:cs="Times New Roman"/>
          <w:sz w:val="32"/>
          <w:szCs w:val="32"/>
          <w:highlight w:val="none"/>
          <w:lang w:val="en-US" w:eastAsia="zh-CN"/>
        </w:rPr>
        <w:t>结转</w:t>
      </w:r>
      <w:r>
        <w:rPr>
          <w:rFonts w:hint="default" w:ascii="Times New Roman" w:hAnsi="Times New Roman" w:eastAsia="仿宋_GB2312" w:cs="Times New Roman"/>
          <w:sz w:val="32"/>
          <w:szCs w:val="32"/>
          <w:highlight w:val="none"/>
        </w:rPr>
        <w:t>一般公共预算拨款收入</w:t>
      </w:r>
      <w:r>
        <w:rPr>
          <w:rFonts w:hint="default" w:ascii="Times New Roman" w:hAnsi="Times New Roman" w:eastAsia="仿宋_GB2312" w:cs="Times New Roman"/>
          <w:sz w:val="32"/>
          <w:szCs w:val="32"/>
          <w:highlight w:val="none"/>
          <w:lang w:val="en-US" w:eastAsia="zh-CN"/>
        </w:rPr>
        <w:t>8.57</w:t>
      </w:r>
      <w:r>
        <w:rPr>
          <w:rFonts w:hint="default" w:ascii="Times New Roman" w:hAnsi="Times New Roman" w:eastAsia="仿宋_GB2312" w:cs="Times New Roman"/>
          <w:sz w:val="32"/>
          <w:szCs w:val="32"/>
          <w:highlight w:val="none"/>
        </w:rPr>
        <w:t>万元；支出包括：文化旅游体育与传媒支出206.04</w:t>
      </w:r>
      <w:r>
        <w:rPr>
          <w:rFonts w:hint="eastAsia" w:ascii="Times New Roman" w:hAnsi="Times New Roman" w:eastAsia="仿宋_GB2312" w:cs="Times New Roman"/>
          <w:sz w:val="32"/>
          <w:szCs w:val="32"/>
          <w:highlight w:val="none"/>
          <w:lang w:eastAsia="zh-CN"/>
        </w:rPr>
        <w:t>万元</w:t>
      </w:r>
      <w:r>
        <w:rPr>
          <w:rFonts w:hint="default" w:ascii="Times New Roman" w:hAnsi="Times New Roman" w:eastAsia="仿宋_GB2312" w:cs="Times New Roman"/>
          <w:sz w:val="32"/>
          <w:szCs w:val="32"/>
          <w:highlight w:val="none"/>
        </w:rPr>
        <w:t>、社会保障和就业支出18.36</w:t>
      </w:r>
      <w:r>
        <w:rPr>
          <w:rFonts w:hint="eastAsia" w:ascii="Times New Roman" w:hAnsi="Times New Roman" w:eastAsia="仿宋_GB2312" w:cs="Times New Roman"/>
          <w:sz w:val="32"/>
          <w:szCs w:val="32"/>
          <w:highlight w:val="none"/>
          <w:lang w:eastAsia="zh-CN"/>
        </w:rPr>
        <w:t>万元、卫生健康支出6.12万元</w:t>
      </w:r>
      <w:r>
        <w:rPr>
          <w:rFonts w:hint="eastAsia" w:ascii="Times New Roman" w:hAnsi="Times New Roman" w:eastAsia="仿宋_GB2312" w:cs="Times New Roman"/>
          <w:color w:val="auto"/>
          <w:sz w:val="32"/>
          <w:szCs w:val="32"/>
          <w:highlight w:val="none"/>
          <w:lang w:eastAsia="zh-CN"/>
        </w:rPr>
        <w:t>、住房保障支出15.54万元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一般公共预算</w:t>
      </w:r>
      <w:r>
        <w:rPr>
          <w:rFonts w:hint="default" w:ascii="Times New Roman" w:hAnsi="Times New Roman" w:eastAsia="黑体" w:cs="Times New Roman"/>
          <w:color w:val="auto"/>
          <w:sz w:val="32"/>
          <w:szCs w:val="32"/>
          <w:highlight w:val="none"/>
          <w:lang w:eastAsia="zh-CN"/>
        </w:rPr>
        <w:t>当年拨款情况</w:t>
      </w:r>
      <w:r>
        <w:rPr>
          <w:rFonts w:hint="eastAsia" w:ascii="Times New Roman" w:hAnsi="Times New Roman" w:eastAsia="黑体" w:cs="Times New Roman"/>
          <w:color w:val="auto"/>
          <w:sz w:val="32"/>
          <w:szCs w:val="32"/>
          <w:highlight w:val="none"/>
          <w:lang w:eastAsia="zh-CN"/>
        </w:rPr>
        <w:t>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suppressAutoHyphens/>
        <w:bidi w:val="0"/>
        <w:spacing w:line="580" w:lineRule="exact"/>
        <w:ind w:firstLine="640" w:firstLineChars="200"/>
        <w:rPr>
          <w:rFonts w:hint="eastAsia" w:ascii="Times New Roman" w:hAnsi="Times New Roman" w:eastAsia="仿宋_GB2312" w:cs="Times New Roman"/>
          <w:color w:val="0000FF"/>
          <w:sz w:val="32"/>
          <w:szCs w:val="32"/>
          <w:highlight w:val="yellow"/>
          <w:lang w:eastAsia="zh-CN"/>
        </w:rPr>
      </w:pPr>
      <w:r>
        <w:rPr>
          <w:rFonts w:hint="eastAsia" w:ascii="Times New Roman" w:hAnsi="Times New Roman" w:eastAsia="仿宋_GB2312" w:cs="Times New Roman"/>
          <w:sz w:val="32"/>
          <w:szCs w:val="32"/>
          <w:highlight w:val="none"/>
          <w:u w:val="none"/>
          <w:lang w:eastAsia="zh-CN"/>
        </w:rPr>
        <w:t>旅游发展服务中心</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一般公共预算当年拨款237.49万元，比</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w:t>
      </w:r>
      <w:r>
        <w:rPr>
          <w:rFonts w:hint="eastAsia" w:ascii="Times New Roman" w:hAnsi="Times New Roman" w:eastAsia="仿宋_GB2312" w:cs="Times New Roman"/>
          <w:sz w:val="32"/>
          <w:szCs w:val="32"/>
          <w:highlight w:val="none"/>
          <w:u w:val="none"/>
          <w:lang w:eastAsia="zh-CN"/>
        </w:rPr>
        <w:t>减少</w:t>
      </w:r>
      <w:r>
        <w:rPr>
          <w:rFonts w:hint="eastAsia" w:ascii="Times New Roman" w:hAnsi="Times New Roman" w:eastAsia="仿宋_GB2312" w:cs="Times New Roman"/>
          <w:sz w:val="32"/>
          <w:szCs w:val="32"/>
          <w:highlight w:val="none"/>
          <w:u w:val="none"/>
          <w:lang w:val="en-US" w:eastAsia="zh-CN"/>
        </w:rPr>
        <w:t>20.40</w:t>
      </w:r>
      <w:r>
        <w:rPr>
          <w:rFonts w:hint="default" w:ascii="Times New Roman" w:hAnsi="Times New Roman" w:eastAsia="仿宋_GB2312" w:cs="Times New Roman"/>
          <w:sz w:val="32"/>
          <w:szCs w:val="32"/>
          <w:highlight w:val="none"/>
        </w:rPr>
        <w:t>万元，主要原因是</w:t>
      </w:r>
      <w:r>
        <w:rPr>
          <w:rFonts w:hint="eastAsia" w:ascii="Times New Roman" w:hAnsi="Times New Roman" w:eastAsia="仿宋_GB2312" w:cs="Times New Roman"/>
          <w:color w:val="auto"/>
          <w:sz w:val="32"/>
          <w:szCs w:val="32"/>
          <w:highlight w:val="none"/>
          <w:lang w:val="en-US" w:eastAsia="zh-CN"/>
        </w:rPr>
        <w:t>在编人员减少1人，劳务派遣人员减少2人</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其他文化和旅游支出197.47万元，占</w:t>
      </w:r>
      <w:r>
        <w:rPr>
          <w:rFonts w:hint="eastAsia" w:ascii="Times New Roman" w:hAnsi="Times New Roman" w:eastAsia="仿宋_GB2312" w:cs="Times New Roman"/>
          <w:sz w:val="32"/>
          <w:szCs w:val="32"/>
          <w:highlight w:val="none"/>
          <w:lang w:val="en-US" w:eastAsia="zh-CN"/>
        </w:rPr>
        <w:t>83.15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机关事业单位基本养老保险缴费支出</w:t>
      </w:r>
      <w:r>
        <w:rPr>
          <w:rFonts w:hint="eastAsia" w:ascii="Times New Roman" w:hAnsi="Times New Roman" w:eastAsia="仿宋_GB2312" w:cs="Times New Roman"/>
          <w:sz w:val="32"/>
          <w:szCs w:val="32"/>
          <w:highlight w:val="none"/>
          <w:lang w:val="en-US" w:eastAsia="zh-CN"/>
        </w:rPr>
        <w:t>18.36</w:t>
      </w:r>
      <w:r>
        <w:rPr>
          <w:rFonts w:hint="default" w:ascii="Times New Roman" w:hAnsi="Times New Roman" w:eastAsia="仿宋_GB2312" w:cs="Times New Roman"/>
          <w:sz w:val="32"/>
          <w:szCs w:val="32"/>
          <w:highlight w:val="none"/>
        </w:rPr>
        <w:t>万元，占</w:t>
      </w:r>
      <w:r>
        <w:rPr>
          <w:rFonts w:hint="eastAsia" w:ascii="Times New Roman" w:hAnsi="Times New Roman" w:eastAsia="仿宋_GB2312" w:cs="Times New Roman"/>
          <w:sz w:val="32"/>
          <w:szCs w:val="32"/>
          <w:highlight w:val="none"/>
          <w:lang w:val="en-US" w:eastAsia="zh-CN"/>
        </w:rPr>
        <w:t>7.73</w:t>
      </w:r>
      <w:r>
        <w:rPr>
          <w:rFonts w:hint="default" w:ascii="Times New Roman" w:hAnsi="Times New Roman" w:eastAsia="仿宋_GB2312" w:cs="Times New Roman"/>
          <w:sz w:val="32"/>
          <w:szCs w:val="32"/>
          <w:highlight w:val="none"/>
        </w:rPr>
        <w:t>%；事业单位医疗</w:t>
      </w:r>
      <w:r>
        <w:rPr>
          <w:rFonts w:hint="eastAsia" w:ascii="Times New Roman" w:hAnsi="Times New Roman" w:eastAsia="仿宋_GB2312" w:cs="Times New Roman"/>
          <w:sz w:val="32"/>
          <w:szCs w:val="32"/>
          <w:highlight w:val="none"/>
          <w:lang w:val="en-US" w:eastAsia="zh-CN"/>
        </w:rPr>
        <w:t>6.12</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2.58</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住房公积金</w:t>
      </w:r>
      <w:r>
        <w:rPr>
          <w:rFonts w:hint="eastAsia" w:ascii="Times New Roman" w:hAnsi="Times New Roman" w:eastAsia="仿宋_GB2312" w:cs="Times New Roman"/>
          <w:sz w:val="32"/>
          <w:szCs w:val="32"/>
          <w:highlight w:val="none"/>
          <w:lang w:val="en-US" w:eastAsia="zh-CN"/>
        </w:rPr>
        <w:t>15.54</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占</w:t>
      </w:r>
      <w:r>
        <w:rPr>
          <w:rFonts w:hint="eastAsia" w:ascii="Times New Roman" w:hAnsi="Times New Roman" w:eastAsia="仿宋_GB2312" w:cs="Times New Roman"/>
          <w:sz w:val="32"/>
          <w:szCs w:val="32"/>
          <w:highlight w:val="none"/>
          <w:lang w:val="en-US" w:eastAsia="zh-CN"/>
        </w:rPr>
        <w:t>7.87</w:t>
      </w:r>
      <w:r>
        <w:rPr>
          <w:rFonts w:hint="default" w:ascii="Times New Roman" w:hAnsi="Times New Roman" w:eastAsia="仿宋_GB2312" w:cs="Times New Roman"/>
          <w:sz w:val="32"/>
          <w:szCs w:val="32"/>
          <w:highlight w:val="none"/>
        </w:rPr>
        <w:t>%。</w:t>
      </w:r>
    </w:p>
    <w:p>
      <w:pP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（三）一般公共预算当年拨款具体使用情况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1.文化旅游体育与传媒（类）</w:t>
      </w:r>
      <w:r>
        <w:rPr>
          <w:rFonts w:hint="eastAsia" w:ascii="Times New Roman" w:hAnsi="Times New Roman" w:eastAsia="仿宋_GB2312" w:cs="Times New Roman"/>
          <w:sz w:val="32"/>
          <w:szCs w:val="32"/>
          <w:highlight w:val="none"/>
          <w:lang w:eastAsia="zh-CN"/>
        </w:rPr>
        <w:t>文化和旅游</w:t>
      </w:r>
      <w:r>
        <w:rPr>
          <w:rFonts w:hint="default"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其他文化和旅游支出</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预算数为197.47万元，主要用于：</w:t>
      </w:r>
      <w:r>
        <w:rPr>
          <w:rFonts w:hint="eastAsia" w:ascii="Times New Roman" w:hAnsi="Times New Roman" w:eastAsia="仿宋_GB2312" w:cs="Times New Roman"/>
          <w:sz w:val="32"/>
          <w:szCs w:val="32"/>
          <w:highlight w:val="none"/>
          <w:lang w:eastAsia="zh-CN"/>
        </w:rPr>
        <w:t>津贴补贴、奖金、绩效工资、基本职工医疗保险缴费、其他社会保障缴费、其他工资福利支出、商品和服务支出</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lang w:eastAsia="zh-CN"/>
        </w:rPr>
        <w:t>社会保障和就业</w:t>
      </w:r>
      <w:r>
        <w:rPr>
          <w:rFonts w:hint="default" w:ascii="Times New Roman" w:hAnsi="Times New Roman" w:eastAsia="仿宋_GB2312" w:cs="Times New Roman"/>
          <w:sz w:val="32"/>
          <w:szCs w:val="32"/>
          <w:highlight w:val="none"/>
        </w:rPr>
        <w:t>支出（类）</w:t>
      </w:r>
      <w:r>
        <w:rPr>
          <w:rFonts w:hint="eastAsia" w:ascii="Times New Roman" w:hAnsi="Times New Roman" w:eastAsia="仿宋_GB2312" w:cs="Times New Roman"/>
          <w:sz w:val="32"/>
          <w:szCs w:val="32"/>
          <w:highlight w:val="none"/>
          <w:lang w:eastAsia="zh-CN"/>
        </w:rPr>
        <w:t>行政事业单位养老支出</w:t>
      </w:r>
      <w:r>
        <w:rPr>
          <w:rFonts w:hint="default" w:ascii="Times New Roman" w:hAnsi="Times New Roman" w:eastAsia="仿宋_GB2312" w:cs="Times New Roman"/>
          <w:sz w:val="32"/>
          <w:szCs w:val="32"/>
          <w:highlight w:val="none"/>
        </w:rPr>
        <w:t>（款） 机关事业单位基本养老保险缴费支出（项）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18.36</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rPr>
        <w:t>机关事业单位基本养老保险缴费</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卫生健康</w:t>
      </w:r>
      <w:r>
        <w:rPr>
          <w:rFonts w:hint="default" w:ascii="Times New Roman" w:hAnsi="Times New Roman" w:eastAsia="仿宋_GB2312" w:cs="Times New Roman"/>
          <w:sz w:val="32"/>
          <w:szCs w:val="32"/>
          <w:highlight w:val="none"/>
        </w:rPr>
        <w:t>支出（类）</w:t>
      </w:r>
      <w:r>
        <w:rPr>
          <w:rFonts w:hint="eastAsia" w:ascii="Times New Roman" w:hAnsi="Times New Roman" w:eastAsia="仿宋_GB2312" w:cs="Times New Roman"/>
          <w:sz w:val="32"/>
          <w:szCs w:val="32"/>
          <w:highlight w:val="none"/>
          <w:lang w:eastAsia="zh-CN"/>
        </w:rPr>
        <w:t>行政事业单位医疗</w:t>
      </w:r>
      <w:r>
        <w:rPr>
          <w:rFonts w:hint="default" w:ascii="Times New Roman" w:hAnsi="Times New Roman" w:eastAsia="仿宋_GB2312" w:cs="Times New Roman"/>
          <w:sz w:val="32"/>
          <w:szCs w:val="32"/>
          <w:highlight w:val="none"/>
        </w:rPr>
        <w:t>（款） </w:t>
      </w:r>
      <w:r>
        <w:rPr>
          <w:rFonts w:hint="eastAsia" w:ascii="Times New Roman" w:hAnsi="Times New Roman" w:eastAsia="仿宋_GB2312" w:cs="Times New Roman"/>
          <w:sz w:val="32"/>
          <w:szCs w:val="32"/>
          <w:highlight w:val="none"/>
          <w:lang w:eastAsia="zh-CN"/>
        </w:rPr>
        <w:t>事业单位医疗</w:t>
      </w:r>
      <w:r>
        <w:rPr>
          <w:rFonts w:hint="default" w:ascii="Times New Roman" w:hAnsi="Times New Roman" w:eastAsia="仿宋_GB2312" w:cs="Times New Roman"/>
          <w:sz w:val="32"/>
          <w:szCs w:val="32"/>
          <w:highlight w:val="none"/>
        </w:rPr>
        <w:t>（项）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6.12</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rPr>
        <w:t>机关事业单位</w:t>
      </w:r>
      <w:r>
        <w:rPr>
          <w:rFonts w:hint="eastAsia" w:ascii="Times New Roman" w:hAnsi="Times New Roman" w:eastAsia="仿宋_GB2312" w:cs="Times New Roman"/>
          <w:sz w:val="32"/>
          <w:szCs w:val="32"/>
          <w:highlight w:val="none"/>
          <w:lang w:eastAsia="zh-CN"/>
        </w:rPr>
        <w:t>医疗</w:t>
      </w:r>
      <w:r>
        <w:rPr>
          <w:rFonts w:hint="eastAsia" w:ascii="Times New Roman" w:hAnsi="Times New Roman" w:eastAsia="仿宋_GB2312" w:cs="Times New Roman"/>
          <w:sz w:val="32"/>
          <w:szCs w:val="32"/>
          <w:highlight w:val="none"/>
        </w:rPr>
        <w:t>保险缴费</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住</w:t>
      </w:r>
      <w:r>
        <w:rPr>
          <w:rFonts w:hint="eastAsia" w:ascii="Times New Roman" w:hAnsi="Times New Roman" w:eastAsia="仿宋_GB2312" w:cs="Times New Roman"/>
          <w:sz w:val="32"/>
          <w:szCs w:val="32"/>
          <w:highlight w:val="none"/>
        </w:rPr>
        <w:t>房保障支出（类）</w:t>
      </w:r>
      <w:r>
        <w:rPr>
          <w:rFonts w:hint="eastAsia" w:ascii="Times New Roman" w:hAnsi="Times New Roman" w:eastAsia="仿宋_GB2312" w:cs="Times New Roman"/>
          <w:sz w:val="32"/>
          <w:szCs w:val="32"/>
          <w:highlight w:val="none"/>
          <w:lang w:eastAsia="zh-CN"/>
        </w:rPr>
        <w:t>住房改革支出</w:t>
      </w:r>
      <w:r>
        <w:rPr>
          <w:rFonts w:hint="eastAsia" w:ascii="Times New Roman" w:hAnsi="Times New Roman" w:eastAsia="仿宋_GB2312" w:cs="Times New Roman"/>
          <w:sz w:val="32"/>
          <w:szCs w:val="32"/>
          <w:highlight w:val="none"/>
        </w:rPr>
        <w:t>（款）住房公积金（项）</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预算数为</w:t>
      </w:r>
      <w:r>
        <w:rPr>
          <w:rFonts w:hint="eastAsia" w:ascii="Times New Roman" w:hAnsi="Times New Roman" w:eastAsia="仿宋_GB2312" w:cs="Times New Roman"/>
          <w:sz w:val="32"/>
          <w:szCs w:val="32"/>
          <w:highlight w:val="none"/>
          <w:lang w:val="en-US" w:eastAsia="zh-CN"/>
        </w:rPr>
        <w:t>15.54</w:t>
      </w:r>
      <w:r>
        <w:rPr>
          <w:rFonts w:hint="default" w:ascii="Times New Roman" w:hAnsi="Times New Roman" w:eastAsia="仿宋_GB2312" w:cs="Times New Roman"/>
          <w:sz w:val="32"/>
          <w:szCs w:val="32"/>
          <w:highlight w:val="none"/>
        </w:rPr>
        <w:t>万元，主要用于：</w:t>
      </w:r>
      <w:r>
        <w:rPr>
          <w:rFonts w:hint="eastAsia" w:ascii="Times New Roman" w:hAnsi="Times New Roman" w:eastAsia="仿宋_GB2312" w:cs="Times New Roman"/>
          <w:sz w:val="32"/>
          <w:szCs w:val="32"/>
          <w:highlight w:val="none"/>
          <w:lang w:val="en-US" w:eastAsia="zh-CN"/>
        </w:rPr>
        <w:t>缴纳</w:t>
      </w:r>
      <w:r>
        <w:rPr>
          <w:rFonts w:hint="eastAsia" w:ascii="Times New Roman" w:hAnsi="Times New Roman" w:eastAsia="仿宋_GB2312" w:cs="Times New Roman"/>
          <w:sz w:val="32"/>
          <w:szCs w:val="32"/>
          <w:highlight w:val="none"/>
          <w:lang w:eastAsia="zh-CN"/>
        </w:rPr>
        <w:t>住房公积金</w:t>
      </w:r>
      <w:r>
        <w:rPr>
          <w:rFonts w:hint="default" w:ascii="Times New Roman" w:hAnsi="Times New Roman" w:eastAsia="仿宋_GB2312" w:cs="Times New Roman"/>
          <w:sz w:val="32"/>
          <w:szCs w:val="32"/>
          <w:highlight w:val="none"/>
        </w:rPr>
        <w:t>。</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旅游发展服务中心202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一般公共预算基本支出</w:t>
      </w:r>
      <w:r>
        <w:rPr>
          <w:rFonts w:hint="eastAsia" w:ascii="Times New Roman" w:hAnsi="Times New Roman" w:eastAsia="仿宋_GB2312" w:cs="Times New Roman"/>
          <w:sz w:val="32"/>
          <w:szCs w:val="32"/>
          <w:highlight w:val="none"/>
          <w:lang w:val="en-US" w:eastAsia="zh-CN"/>
        </w:rPr>
        <w:t>167.49</w:t>
      </w:r>
      <w:r>
        <w:rPr>
          <w:rFonts w:hint="default" w:ascii="Times New Roman" w:hAnsi="Times New Roman" w:eastAsia="仿宋_GB2312" w:cs="Times New Roman"/>
          <w:sz w:val="32"/>
          <w:szCs w:val="32"/>
          <w:highlight w:val="none"/>
        </w:rPr>
        <w:t>万元，其中：</w:t>
      </w:r>
    </w:p>
    <w:p>
      <w:pPr>
        <w:suppressAutoHyphens/>
        <w:bidi w:val="0"/>
        <w:spacing w:line="580" w:lineRule="exact"/>
        <w:ind w:firstLine="640" w:firstLineChars="200"/>
        <w:rPr>
          <w:rFonts w:hint="eastAsia"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人员经费</w:t>
      </w:r>
      <w:r>
        <w:rPr>
          <w:rFonts w:hint="eastAsia" w:ascii="Times New Roman" w:hAnsi="Times New Roman" w:eastAsia="仿宋_GB2312" w:cs="Times New Roman"/>
          <w:sz w:val="32"/>
          <w:szCs w:val="32"/>
          <w:highlight w:val="none"/>
          <w:lang w:val="en-US" w:eastAsia="zh-CN"/>
        </w:rPr>
        <w:t>155.49</w:t>
      </w:r>
      <w:r>
        <w:rPr>
          <w:rFonts w:hint="default" w:ascii="Times New Roman" w:hAnsi="Times New Roman" w:eastAsia="仿宋_GB2312" w:cs="Times New Roman"/>
          <w:sz w:val="32"/>
          <w:szCs w:val="32"/>
          <w:highlight w:val="none"/>
        </w:rPr>
        <w:t>万元，主要包括：基本工资、津贴补贴、奖金、绩效工资</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机关事业单位基本养老保险缴费、职工基本医疗保险缴费、其他社会保障缴费</w:t>
      </w:r>
      <w:r>
        <w:rPr>
          <w:rFonts w:hint="eastAsia" w:ascii="Times New Roman" w:hAnsi="Times New Roman" w:eastAsia="仿宋_GB2312" w:cs="Times New Roman"/>
          <w:sz w:val="32"/>
          <w:szCs w:val="32"/>
          <w:highlight w:val="none"/>
          <w:lang w:eastAsia="zh-CN"/>
        </w:rPr>
        <w:t>、住房公积金。</w:t>
      </w:r>
    </w:p>
    <w:p>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rPr>
        <w:t>公用经费</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万元，主要包括：办公费、印刷费、</w:t>
      </w:r>
      <w:r>
        <w:rPr>
          <w:rFonts w:hint="eastAsia" w:ascii="Times New Roman" w:hAnsi="Times New Roman" w:eastAsia="仿宋_GB2312" w:cs="Times New Roman"/>
          <w:sz w:val="32"/>
          <w:szCs w:val="32"/>
          <w:highlight w:val="none"/>
          <w:lang w:eastAsia="zh-CN"/>
        </w:rPr>
        <w:t>电费、邮电费、差旅费、  维修（护）费、公务接待费、工会经费、 福利费、其他交通费用、其他商品和服务支出</w:t>
      </w:r>
      <w:r>
        <w:rPr>
          <w:rFonts w:hint="default" w:ascii="Times New Roman" w:hAnsi="Times New Roman" w:eastAsia="仿宋_GB2312" w:cs="Times New Roman"/>
          <w:sz w:val="32"/>
          <w:szCs w:val="32"/>
          <w:highlight w:val="none"/>
          <w:u w:val="none"/>
        </w:rPr>
        <w:t>。</w:t>
      </w:r>
    </w:p>
    <w:p>
      <w:pP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“三公”经费财政拨款预算安排情况说明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旅游发展服务中心202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“三公”经费财政拨款预算数</w:t>
      </w:r>
      <w:r>
        <w:rPr>
          <w:rFonts w:hint="eastAsia" w:ascii="Times New Roman" w:hAnsi="Times New Roman" w:eastAsia="仿宋_GB2312" w:cs="Times New Roman"/>
          <w:sz w:val="32"/>
          <w:szCs w:val="32"/>
          <w:highlight w:val="none"/>
          <w:lang w:val="en-US" w:eastAsia="zh-CN"/>
        </w:rPr>
        <w:t>0.49</w:t>
      </w:r>
      <w:r>
        <w:rPr>
          <w:rFonts w:hint="default" w:ascii="Times New Roman" w:hAnsi="Times New Roman" w:eastAsia="仿宋_GB2312" w:cs="Times New Roman"/>
          <w:sz w:val="32"/>
          <w:szCs w:val="32"/>
          <w:highlight w:val="none"/>
        </w:rPr>
        <w:t>万元，其中：公务接待费</w:t>
      </w:r>
      <w:r>
        <w:rPr>
          <w:rFonts w:hint="eastAsia" w:ascii="Times New Roman" w:hAnsi="Times New Roman" w:eastAsia="仿宋_GB2312" w:cs="Times New Roman"/>
          <w:sz w:val="32"/>
          <w:szCs w:val="32"/>
          <w:highlight w:val="none"/>
          <w:lang w:val="en-US" w:eastAsia="zh-CN"/>
        </w:rPr>
        <w:t>0.49</w:t>
      </w:r>
      <w:r>
        <w:rPr>
          <w:rFonts w:hint="default" w:ascii="Times New Roman" w:hAnsi="Times New Roman" w:eastAsia="仿宋_GB2312" w:cs="Times New Roman"/>
          <w:sz w:val="32"/>
          <w:szCs w:val="32"/>
          <w:highlight w:val="none"/>
        </w:rPr>
        <w:t>万元，公务用车购置及运行维护费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，因公出国（境）经费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w:t>
      </w:r>
    </w:p>
    <w:p>
      <w:pPr>
        <w:suppressAutoHyphens/>
        <w:bidi w:val="0"/>
        <w:spacing w:line="580" w:lineRule="exact"/>
        <w:ind w:firstLine="643"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eastAsia" w:ascii="Times New Roman" w:hAnsi="Times New Roman" w:eastAsia="楷体_GB2312" w:cs="Times New Roman"/>
          <w:b/>
          <w:sz w:val="32"/>
          <w:szCs w:val="32"/>
          <w:highlight w:val="none"/>
          <w:u w:val="none"/>
          <w:lang w:val="en-US" w:eastAsia="zh-CN"/>
        </w:rPr>
        <w:t>持平，均未安排</w:t>
      </w:r>
      <w:r>
        <w:rPr>
          <w:rFonts w:hint="eastAsia" w:ascii="Times New Roman" w:hAnsi="Times New Roman" w:eastAsia="楷体_GB2312" w:cs="Times New Roman"/>
          <w:b/>
          <w:sz w:val="32"/>
          <w:szCs w:val="32"/>
          <w:highlight w:val="none"/>
          <w:u w:val="none"/>
          <w:lang w:eastAsia="zh-CN"/>
        </w:rPr>
        <w:t>。</w:t>
      </w:r>
      <w:r>
        <w:rPr>
          <w:rFonts w:hint="eastAsia" w:ascii="Times New Roman" w:hAnsi="Times New Roman" w:eastAsia="仿宋_GB2312" w:cs="Times New Roman"/>
          <w:sz w:val="32"/>
          <w:szCs w:val="32"/>
          <w:highlight w:val="none"/>
          <w:lang w:val="en-US" w:eastAsia="zh-CN"/>
        </w:rPr>
        <w:t>主要原因是单位无因公出国（境）工作需要。</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3</w:t>
      </w:r>
      <w:r>
        <w:rPr>
          <w:rFonts w:hint="default" w:ascii="Times New Roman" w:hAnsi="Times New Roman" w:eastAsia="楷体_GB2312" w:cs="Times New Roman"/>
          <w:b/>
          <w:sz w:val="32"/>
          <w:szCs w:val="32"/>
          <w:highlight w:val="none"/>
        </w:rPr>
        <w:t>%。</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eastAsia="zh-CN"/>
        </w:rPr>
        <w:t>厉行节约、严控开支</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公务接待费计划用于</w:t>
      </w:r>
      <w:r>
        <w:rPr>
          <w:rFonts w:hint="eastAsia" w:ascii="Times New Roman" w:hAnsi="Times New Roman" w:eastAsia="仿宋_GB2312" w:cs="Times New Roman"/>
          <w:sz w:val="32"/>
          <w:szCs w:val="32"/>
          <w:highlight w:val="none"/>
          <w:lang w:eastAsia="zh-CN"/>
        </w:rPr>
        <w:t>迎接检查、考察调研、检查指导等公务活动开支的交通费、住宿费、用餐费等</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黑体" w:cs="Times New Roman"/>
          <w:b/>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w:t>
      </w:r>
      <w:r>
        <w:rPr>
          <w:rFonts w:hint="eastAsia" w:ascii="Times New Roman" w:hAnsi="Times New Roman" w:eastAsia="楷体_GB2312" w:cs="Times New Roman"/>
          <w:b/>
          <w:sz w:val="32"/>
          <w:szCs w:val="32"/>
          <w:highlight w:val="none"/>
          <w:lang w:val="en-US" w:eastAsia="zh-CN"/>
        </w:rPr>
        <w:t>较2024年预算持平，均未安排。</w:t>
      </w:r>
      <w:r>
        <w:rPr>
          <w:rFonts w:hint="default" w:ascii="Times New Roman" w:hAnsi="Times New Roman" w:eastAsia="仿宋_GB2312" w:cs="Times New Roman"/>
          <w:sz w:val="32"/>
          <w:szCs w:val="32"/>
          <w:highlight w:val="none"/>
        </w:rPr>
        <w:t>主要原因是</w:t>
      </w:r>
      <w:r>
        <w:rPr>
          <w:rFonts w:hint="eastAsia" w:ascii="Times New Roman" w:hAnsi="Times New Roman" w:eastAsia="仿宋_GB2312" w:cs="Times New Roman"/>
          <w:sz w:val="32"/>
          <w:szCs w:val="32"/>
          <w:highlight w:val="none"/>
          <w:lang w:val="en-US" w:eastAsia="zh-CN"/>
        </w:rPr>
        <w:t>单位无公务用车需要</w:t>
      </w:r>
      <w:r>
        <w:rPr>
          <w:rFonts w:hint="default" w:ascii="Times New Roman" w:hAnsi="Times New Roman" w:eastAsia="仿宋_GB2312" w:cs="Times New Roman"/>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旅游发展服务中心</w:t>
      </w:r>
      <w:r>
        <w:rPr>
          <w:rFonts w:hint="default" w:ascii="Times New Roman" w:hAnsi="Times New Roman" w:eastAsia="仿宋_GB2312" w:cs="Times New Roman"/>
          <w:sz w:val="32"/>
          <w:szCs w:val="32"/>
          <w:highlight w:val="none"/>
        </w:rPr>
        <w:t>现有公务用车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安排公务用车购置费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rPr>
        <w:t>购置公务用车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辆，其中：轿车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辆，旅行车（含商务车）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辆，越野车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辆，大型客、货车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w:t>
      </w:r>
    </w:p>
    <w:p>
      <w:pPr>
        <w:suppressAutoHyphens/>
        <w:bidi w:val="0"/>
        <w:spacing w:line="580" w:lineRule="exact"/>
        <w:ind w:firstLine="64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安排公务用车运行维护费</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eastAsia" w:ascii="Times New Roman" w:hAnsi="Times New Roman" w:eastAsia="仿宋_GB2312" w:cs="Times New Roman"/>
          <w:sz w:val="32"/>
          <w:szCs w:val="32"/>
          <w:highlight w:val="none"/>
          <w:lang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广安市前锋区旅游发展服务中心202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广安市前锋区旅游发展服务中心202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广安市前锋区旅游发展服务中心</w:t>
      </w:r>
      <w:r>
        <w:rPr>
          <w:rFonts w:hint="default" w:ascii="Times New Roman" w:hAnsi="Times New Roman" w:eastAsia="仿宋_GB2312" w:cs="Times New Roman"/>
          <w:sz w:val="32"/>
          <w:szCs w:val="32"/>
          <w:highlight w:val="none"/>
        </w:rPr>
        <w:t>为事业单位，按规定未使用机关运行的相关科目。</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suppressAutoHyphens/>
        <w:bidi w:val="0"/>
        <w:spacing w:line="580" w:lineRule="exact"/>
        <w:ind w:firstLine="640" w:firstLineChars="200"/>
        <w:rPr>
          <w:rFonts w:hint="default" w:ascii="Times New Roman" w:hAnsi="Times New Roman" w:eastAsia="楷体_GB2312" w:cs="Times New Roman"/>
          <w:b/>
          <w:sz w:val="32"/>
          <w:szCs w:val="32"/>
          <w:highlight w:val="none"/>
        </w:rPr>
      </w:pPr>
      <w:r>
        <w:rPr>
          <w:rFonts w:hint="eastAsia" w:ascii="Times New Roman" w:hAnsi="Times New Roman" w:eastAsia="仿宋_GB2312" w:cs="Times New Roman"/>
          <w:sz w:val="32"/>
          <w:szCs w:val="32"/>
          <w:highlight w:val="none"/>
          <w:lang w:eastAsia="zh-CN"/>
        </w:rPr>
        <w:t>广安市前锋区旅游发展服务中心202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无政府采购项目，未安排政府采购预算。</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截至</w:t>
      </w: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底，</w:t>
      </w:r>
      <w:r>
        <w:rPr>
          <w:rFonts w:hint="eastAsia" w:ascii="Times New Roman" w:hAnsi="Times New Roman" w:eastAsia="仿宋_GB2312" w:cs="Times New Roman"/>
          <w:sz w:val="32"/>
          <w:szCs w:val="32"/>
          <w:highlight w:val="none"/>
          <w:lang w:val="en-US" w:eastAsia="zh-CN"/>
        </w:rPr>
        <w:t>广安市前锋区旅游发展服务中心</w:t>
      </w:r>
      <w:r>
        <w:rPr>
          <w:rFonts w:hint="default" w:ascii="Times New Roman" w:hAnsi="Times New Roman" w:eastAsia="仿宋_GB2312" w:cs="Times New Roman"/>
          <w:sz w:val="32"/>
          <w:szCs w:val="32"/>
          <w:highlight w:val="none"/>
        </w:rPr>
        <w:t>所属各预算单位共有车辆</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辆，其中，定向保障用车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辆、执法执勤用车</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辆。单位价值200万元以上大型设备</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台</w:t>
      </w:r>
      <w:r>
        <w:rPr>
          <w:rFonts w:hint="default" w:ascii="Times New Roman" w:hAnsi="Times New Roman" w:eastAsia="仿宋_GB2312" w:cs="Times New Roman"/>
          <w:sz w:val="32"/>
          <w:szCs w:val="32"/>
          <w:highlight w:val="none"/>
          <w:u w:val="none"/>
        </w:rPr>
        <w:t>（套）</w:t>
      </w:r>
      <w:r>
        <w:rPr>
          <w:rFonts w:hint="default" w:ascii="Times New Roman" w:hAnsi="Times New Roman" w:eastAsia="仿宋_GB2312" w:cs="Times New Roman"/>
          <w:sz w:val="32"/>
          <w:szCs w:val="32"/>
          <w:highlight w:val="none"/>
        </w:rPr>
        <w:t>。</w:t>
      </w:r>
    </w:p>
    <w:p>
      <w:pPr>
        <w:suppressAutoHyphens/>
        <w:bidi w:val="0"/>
        <w:spacing w:line="58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部门预算未安排购置车辆及单</w:t>
      </w:r>
      <w:r>
        <w:rPr>
          <w:rFonts w:hint="eastAsia" w:ascii="Times New Roman" w:hAnsi="Times New Roman" w:eastAsia="仿宋_GB2312" w:cs="Times New Roman"/>
          <w:sz w:val="32"/>
          <w:szCs w:val="32"/>
          <w:highlight w:val="none"/>
          <w:lang w:val="en-US" w:eastAsia="zh-CN"/>
        </w:rPr>
        <w:t>位价</w:t>
      </w:r>
      <w:r>
        <w:rPr>
          <w:rFonts w:hint="default" w:ascii="Times New Roman" w:hAnsi="Times New Roman" w:eastAsia="仿宋_GB2312" w:cs="Times New Roman"/>
          <w:sz w:val="32"/>
          <w:szCs w:val="32"/>
          <w:highlight w:val="none"/>
        </w:rPr>
        <w:t>值200万元以上大型设备。</w:t>
      </w:r>
    </w:p>
    <w:p>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eastAsia="zh-CN"/>
        </w:rPr>
        <w:t>广安市前锋区旅游发展服务中心</w:t>
      </w:r>
      <w:r>
        <w:rPr>
          <w:rFonts w:hint="default" w:ascii="Times New Roman" w:hAnsi="Times New Roman" w:eastAsia="仿宋_GB2312" w:cs="Times New Roman"/>
          <w:sz w:val="32"/>
          <w:szCs w:val="32"/>
          <w:highlight w:val="none"/>
          <w:lang w:val="en-US" w:eastAsia="zh-CN"/>
        </w:rPr>
        <w:t>开展绩效目标管理的项目</w:t>
      </w:r>
      <w:r>
        <w:rPr>
          <w:rFonts w:hint="eastAsia" w:ascii="Times New Roman" w:hAnsi="Times New Roman" w:eastAsia="仿宋_GB2312" w:cs="Times New Roman"/>
          <w:sz w:val="32"/>
          <w:szCs w:val="32"/>
          <w:highlight w:val="none"/>
          <w:lang w:val="en-US" w:eastAsia="zh-CN"/>
        </w:rPr>
        <w:t>23</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246.07</w:t>
      </w:r>
      <w:r>
        <w:rPr>
          <w:rFonts w:hint="default" w:ascii="Times New Roman" w:hAnsi="Times New Roman" w:eastAsia="仿宋_GB2312" w:cs="Times New Roman"/>
          <w:sz w:val="32"/>
          <w:szCs w:val="32"/>
          <w:highlight w:val="none"/>
          <w:lang w:eastAsia="zh-CN"/>
        </w:rPr>
        <w:t>万元。其中：人员类项目</w:t>
      </w: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170.47</w:t>
      </w:r>
      <w:r>
        <w:rPr>
          <w:rFonts w:hint="default" w:ascii="Times New Roman" w:hAnsi="Times New Roman" w:eastAsia="仿宋_GB2312" w:cs="Times New Roman"/>
          <w:sz w:val="32"/>
          <w:szCs w:val="32"/>
          <w:highlight w:val="none"/>
          <w:lang w:eastAsia="zh-CN"/>
        </w:rPr>
        <w:t>万元；运转类项目</w:t>
      </w:r>
      <w:r>
        <w:rPr>
          <w:rFonts w:hint="eastAsia" w:ascii="Times New Roman" w:hAnsi="Times New Roman" w:eastAsia="仿宋_GB2312" w:cs="Times New Roman"/>
          <w:sz w:val="32"/>
          <w:szCs w:val="32"/>
          <w:highlight w:val="none"/>
          <w:lang w:val="en-US" w:eastAsia="zh-CN"/>
        </w:rPr>
        <w:t>11</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12.00</w:t>
      </w:r>
      <w:r>
        <w:rPr>
          <w:rFonts w:hint="default" w:ascii="Times New Roman" w:hAnsi="Times New Roman" w:eastAsia="仿宋_GB2312" w:cs="Times New Roman"/>
          <w:sz w:val="32"/>
          <w:szCs w:val="32"/>
          <w:highlight w:val="none"/>
          <w:lang w:eastAsia="zh-CN"/>
        </w:rPr>
        <w:t>万元；特定目标类项目</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个，涉及预算</w:t>
      </w:r>
      <w:r>
        <w:rPr>
          <w:rFonts w:hint="eastAsia" w:ascii="Times New Roman" w:hAnsi="Times New Roman" w:eastAsia="仿宋_GB2312" w:cs="Times New Roman"/>
          <w:sz w:val="32"/>
          <w:szCs w:val="32"/>
          <w:highlight w:val="none"/>
          <w:lang w:val="en-US" w:eastAsia="zh-CN"/>
        </w:rPr>
        <w:t>78.57</w:t>
      </w:r>
      <w:r>
        <w:rPr>
          <w:rFonts w:hint="default" w:ascii="Times New Roman" w:hAnsi="Times New Roman" w:eastAsia="仿宋_GB2312" w:cs="Times New Roman"/>
          <w:sz w:val="32"/>
          <w:szCs w:val="32"/>
          <w:highlight w:val="none"/>
          <w:lang w:eastAsia="zh-CN"/>
        </w:rPr>
        <w:t>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1.一般公共预算拨款收入：指</w:t>
      </w:r>
      <w:r>
        <w:rPr>
          <w:rFonts w:hint="eastAsia" w:ascii="Times New Roman" w:hAnsi="Times New Roman" w:eastAsia="仿宋_GB2312"/>
          <w:color w:val="auto"/>
          <w:sz w:val="32"/>
          <w:szCs w:val="32"/>
          <w:highlight w:val="none"/>
          <w:lang w:val="en-US" w:eastAsia="zh-CN"/>
        </w:rPr>
        <w:t>区</w:t>
      </w:r>
      <w:r>
        <w:rPr>
          <w:rFonts w:hint="eastAsia" w:ascii="Times New Roman" w:hAnsi="Times New Roman" w:eastAsia="仿宋_GB2312"/>
          <w:color w:val="auto"/>
          <w:sz w:val="32"/>
          <w:szCs w:val="32"/>
          <w:highlight w:val="none"/>
        </w:rPr>
        <w:t>级财政当年拨付的资金。</w:t>
      </w:r>
    </w:p>
    <w:p>
      <w:pPr>
        <w:spacing w:line="600" w:lineRule="exact"/>
        <w:ind w:firstLine="640" w:firstLineChars="200"/>
        <w:rPr>
          <w:rFonts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2.上年结转：指以前年度尚未完成，结转到本年仍按原规定用途继续使用的资金。</w:t>
      </w:r>
    </w:p>
    <w:p>
      <w:pPr>
        <w:spacing w:line="600" w:lineRule="exact"/>
        <w:ind w:firstLine="640" w:firstLineChars="200"/>
        <w:rPr>
          <w:rFonts w:hint="eastAsia" w:ascii="Times New Roman" w:hAnsi="Times New Roman" w:eastAsia="仿宋_GB2312"/>
          <w:color w:val="auto"/>
          <w:sz w:val="32"/>
          <w:szCs w:val="32"/>
          <w:highlight w:val="none"/>
        </w:rPr>
      </w:pPr>
      <w:r>
        <w:rPr>
          <w:rFonts w:hint="eastAsia" w:ascii="Times New Roman" w:hAnsi="Times New Roman" w:eastAsia="仿宋_GB2312"/>
          <w:color w:val="auto"/>
          <w:sz w:val="32"/>
          <w:szCs w:val="32"/>
          <w:highlight w:val="none"/>
        </w:rPr>
        <w:t>3.文化旅游体育与传媒支出（类）文化和旅游（款）其他文化和旅游支出（项）：反映除上述项目以外其他用于文化和旅游方面的支出。</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4.</w:t>
      </w:r>
      <w:r>
        <w:rPr>
          <w:rFonts w:hint="eastAsia" w:ascii="Times New Roman" w:hAnsi="Times New Roman" w:eastAsia="仿宋_GB2312"/>
          <w:color w:val="auto"/>
          <w:sz w:val="32"/>
          <w:szCs w:val="32"/>
          <w:highlight w:val="none"/>
          <w:lang w:eastAsia="zh-CN"/>
        </w:rPr>
        <w:t>社会保障和就业</w:t>
      </w:r>
      <w:r>
        <w:rPr>
          <w:rFonts w:hint="default" w:ascii="Times New Roman" w:hAnsi="Times New Roman" w:eastAsia="仿宋_GB2312"/>
          <w:color w:val="auto"/>
          <w:sz w:val="32"/>
          <w:szCs w:val="32"/>
          <w:highlight w:val="none"/>
        </w:rPr>
        <w:t>支出（类）</w:t>
      </w:r>
      <w:r>
        <w:rPr>
          <w:rFonts w:hint="eastAsia" w:ascii="Times New Roman" w:hAnsi="Times New Roman" w:eastAsia="仿宋_GB2312"/>
          <w:color w:val="auto"/>
          <w:sz w:val="32"/>
          <w:szCs w:val="32"/>
          <w:highlight w:val="none"/>
          <w:lang w:eastAsia="zh-CN"/>
        </w:rPr>
        <w:t>行政事业单位养老支出</w:t>
      </w:r>
      <w:r>
        <w:rPr>
          <w:rFonts w:hint="default" w:ascii="Times New Roman" w:hAnsi="Times New Roman" w:eastAsia="仿宋_GB2312"/>
          <w:color w:val="auto"/>
          <w:sz w:val="32"/>
          <w:szCs w:val="32"/>
          <w:highlight w:val="none"/>
        </w:rPr>
        <w:t>（款） 机关事业单位基本养老保险缴费支出（项）</w:t>
      </w:r>
      <w:r>
        <w:rPr>
          <w:rFonts w:hint="eastAsia" w:ascii="Times New Roman" w:hAnsi="Times New Roman" w:eastAsia="仿宋_GB2312"/>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指机关事业单位实施养老保险制度由单位缴纳的基本养老保险费支出。</w:t>
      </w:r>
    </w:p>
    <w:p>
      <w:p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lang w:eastAsia="zh-CN"/>
        </w:rPr>
        <w:t>卫生健康支出（类）行政事业单位医疗（款）事业单位医疗（项）：指财政部门安排的事业单位基本医疗保险缴费经费。</w:t>
      </w:r>
    </w:p>
    <w:p>
      <w:pPr>
        <w:pStyle w:val="3"/>
        <w:rPr>
          <w:rFonts w:hint="eastAsia"/>
          <w:color w:val="auto"/>
          <w:lang w:eastAsia="zh-CN"/>
        </w:rPr>
      </w:pPr>
    </w:p>
    <w:p>
      <w:pPr>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olor w:val="auto"/>
          <w:sz w:val="32"/>
          <w:szCs w:val="32"/>
          <w:highlight w:val="none"/>
          <w:lang w:val="en-US" w:eastAsia="zh-CN"/>
        </w:rPr>
        <w:t>6.</w:t>
      </w:r>
      <w:r>
        <w:rPr>
          <w:rFonts w:hint="eastAsia" w:ascii="Times New Roman" w:hAnsi="Times New Roman" w:eastAsia="仿宋_GB2312"/>
          <w:color w:val="auto"/>
          <w:sz w:val="32"/>
          <w:szCs w:val="32"/>
          <w:highlight w:val="none"/>
        </w:rPr>
        <w:t>住房保障支出（类）住房改革支出（款）住房公积金（项）：</w:t>
      </w:r>
      <w:r>
        <w:rPr>
          <w:rFonts w:hint="eastAsia" w:ascii="Times New Roman" w:hAnsi="Times New Roman" w:eastAsia="仿宋_GB2312" w:cs="Times New Roman"/>
          <w:color w:val="auto"/>
          <w:sz w:val="32"/>
          <w:szCs w:val="32"/>
          <w:highlight w:val="none"/>
          <w:lang w:eastAsia="zh-CN"/>
        </w:rPr>
        <w:t>指行政事业单位按人力资源和社会保障部、财政部规定的基本工资和津补贴以及规定比例为职工缴纳的住房公积金。</w:t>
      </w:r>
    </w:p>
    <w:p>
      <w:pPr>
        <w:numPr>
          <w:ilvl w:val="0"/>
          <w:numId w:val="0"/>
        </w:numPr>
        <w:spacing w:line="600" w:lineRule="exact"/>
        <w:rPr>
          <w:rFonts w:hint="eastAsia" w:ascii="Times New Roman" w:hAnsi="Times New Roman" w:eastAsia="仿宋_GB2312"/>
          <w:sz w:val="32"/>
          <w:szCs w:val="32"/>
          <w:highlight w:val="none"/>
        </w:rPr>
      </w:pPr>
      <w:r>
        <w:rPr>
          <w:rFonts w:hint="eastAsia" w:ascii="Times New Roman" w:hAnsi="Times New Roman" w:eastAsia="仿宋_GB2312"/>
          <w:color w:val="auto"/>
          <w:sz w:val="32"/>
          <w:szCs w:val="32"/>
          <w:highlight w:val="none"/>
        </w:rPr>
        <w:t>　　</w:t>
      </w:r>
      <w:r>
        <w:rPr>
          <w:rFonts w:hint="eastAsia" w:ascii="Times New Roman" w:hAnsi="Times New Roman" w:eastAsia="仿宋_GB2312"/>
          <w:color w:val="auto"/>
          <w:sz w:val="32"/>
          <w:szCs w:val="32"/>
          <w:highlight w:val="none"/>
          <w:lang w:val="en-US" w:eastAsia="zh-CN"/>
        </w:rPr>
        <w:t>7</w:t>
      </w:r>
      <w:r>
        <w:rPr>
          <w:rFonts w:hint="eastAsia" w:ascii="Times New Roman" w:hAnsi="Times New Roman" w:eastAsia="仿宋_GB2312"/>
          <w:color w:val="auto"/>
          <w:sz w:val="32"/>
          <w:szCs w:val="32"/>
          <w:highlight w:val="none"/>
        </w:rPr>
        <w:t>.基本支出：指为保证机构正常运转，完成日常工作任务而发生的人员支出和公用支出。</w:t>
      </w:r>
      <w:r>
        <w:rPr>
          <w:rFonts w:hint="eastAsia" w:ascii="Times New Roman" w:hAnsi="Times New Roman" w:eastAsia="仿宋_GB2312"/>
          <w:color w:val="auto"/>
          <w:sz w:val="32"/>
          <w:szCs w:val="32"/>
          <w:highlight w:val="none"/>
        </w:rPr>
        <w:br w:type="textWrapping"/>
      </w:r>
      <w:r>
        <w:rPr>
          <w:rFonts w:hint="eastAsia" w:ascii="Times New Roman" w:hAnsi="Times New Roman" w:eastAsia="仿宋_GB2312"/>
          <w:color w:val="auto"/>
          <w:sz w:val="32"/>
          <w:szCs w:val="32"/>
          <w:highlight w:val="none"/>
        </w:rPr>
        <w:t>　　</w:t>
      </w:r>
      <w:r>
        <w:rPr>
          <w:rFonts w:hint="eastAsia" w:ascii="Times New Roman" w:hAnsi="Times New Roman" w:eastAsia="仿宋_GB2312"/>
          <w:color w:val="auto"/>
          <w:sz w:val="32"/>
          <w:szCs w:val="32"/>
          <w:highlight w:val="none"/>
          <w:lang w:val="en-US" w:eastAsia="zh-CN"/>
        </w:rPr>
        <w:t>8</w:t>
      </w:r>
      <w:r>
        <w:rPr>
          <w:rFonts w:hint="eastAsia" w:ascii="Times New Roman" w:hAnsi="Times New Roman" w:eastAsia="仿宋_GB2312"/>
          <w:color w:val="auto"/>
          <w:sz w:val="32"/>
          <w:szCs w:val="32"/>
          <w:highlight w:val="none"/>
        </w:rPr>
        <w:t>.项目支出：指在基本支出之外为完成特定行政任务和事业发展目标所发生的支出。</w:t>
      </w:r>
      <w:r>
        <w:rPr>
          <w:rFonts w:hint="eastAsia" w:ascii="Times New Roman" w:hAnsi="Times New Roman" w:eastAsia="仿宋_GB2312"/>
          <w:color w:val="auto"/>
          <w:sz w:val="32"/>
          <w:szCs w:val="32"/>
          <w:highlight w:val="none"/>
        </w:rPr>
        <w:br w:type="textWrapping"/>
      </w:r>
      <w:r>
        <w:rPr>
          <w:rFonts w:hint="eastAsia" w:ascii="Times New Roman" w:hAnsi="Times New Roman" w:eastAsia="仿宋_GB2312"/>
          <w:color w:val="auto"/>
          <w:sz w:val="32"/>
          <w:szCs w:val="32"/>
          <w:highlight w:val="none"/>
        </w:rPr>
        <w:t>　　</w:t>
      </w:r>
      <w:r>
        <w:rPr>
          <w:rFonts w:hint="eastAsia" w:ascii="Times New Roman" w:hAnsi="Times New Roman" w:eastAsia="仿宋_GB2312"/>
          <w:color w:val="auto"/>
          <w:sz w:val="32"/>
          <w:szCs w:val="32"/>
          <w:highlight w:val="none"/>
          <w:lang w:val="en-US" w:eastAsia="zh-CN"/>
        </w:rPr>
        <w:t>9</w:t>
      </w:r>
      <w:r>
        <w:rPr>
          <w:rFonts w:hint="eastAsia" w:ascii="Times New Roman" w:hAnsi="Times New Roman" w:eastAsia="仿宋_GB2312"/>
          <w:color w:val="auto"/>
          <w:sz w:val="32"/>
          <w:szCs w:val="32"/>
          <w:highlight w:val="none"/>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w:t>
      </w:r>
      <w:r>
        <w:rPr>
          <w:rFonts w:hint="eastAsia" w:ascii="Times New Roman" w:hAnsi="Times New Roman" w:eastAsia="仿宋_GB2312"/>
          <w:sz w:val="32"/>
          <w:szCs w:val="32"/>
          <w:highlight w:val="none"/>
        </w:rPr>
        <w:t>单位按规定开支的各类公务接待（含外宾接待）支出。</w:t>
      </w:r>
    </w:p>
    <w:p>
      <w:pPr>
        <w:spacing w:line="240" w:lineRule="auto"/>
        <w:ind w:firstLine="0" w:firstLineChars="0"/>
        <w:rPr>
          <w:rFonts w:hint="default" w:ascii="Times New Roman" w:hAnsi="Times New Roman" w:eastAsia="楷体" w:cs="Times New Roman"/>
          <w:b/>
          <w:color w:val="FF0000"/>
          <w:sz w:val="32"/>
          <w:szCs w:val="32"/>
          <w:highlight w:val="none"/>
        </w:rPr>
      </w:pPr>
      <w:r>
        <w:rPr>
          <w:rFonts w:hint="default" w:ascii="Times New Roman" w:hAnsi="Times New Roman" w:eastAsia="楷体" w:cs="Times New Roman"/>
          <w:b/>
          <w:color w:val="FF0000"/>
          <w:sz w:val="32"/>
          <w:szCs w:val="32"/>
          <w:highlight w:val="none"/>
        </w:rPr>
        <w:br w:type="page"/>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520" w:leftChars="0" w:right="0" w:rightChars="0" w:hanging="520" w:hangingChars="10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广安市前锋区旅游发展服务中心</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2025年部门预算表</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pacing w:line="600" w:lineRule="exact"/>
        <w:ind w:firstLine="643" w:firstLineChars="200"/>
        <w:rPr>
          <w:rFonts w:hint="eastAsia" w:ascii="Times New Roman" w:hAnsi="Times New Roman" w:eastAsia="楷体" w:cs="Times New Roman"/>
          <w:b/>
          <w:color w:val="FF0000"/>
          <w:sz w:val="32"/>
          <w:szCs w:val="32"/>
          <w:highlight w:val="none"/>
          <w:lang w:eastAsia="zh-CN"/>
        </w:r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45E97E-7B42-4293-BD84-F4D32F96CC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69E4BB9-4E82-497C-989F-FB46DEBE49AD}"/>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3" w:fontKey="{F29BE8DE-FC80-4F13-A0CF-ADDD20CC0492}"/>
  </w:font>
  <w:font w:name="方正小标宋简体">
    <w:panose1 w:val="02000000000000000000"/>
    <w:charset w:val="86"/>
    <w:family w:val="auto"/>
    <w:pitch w:val="default"/>
    <w:sig w:usb0="00000001" w:usb1="08000000" w:usb2="00000000" w:usb3="00000000" w:csb0="00040000" w:csb1="00000000"/>
    <w:embedRegular r:id="rId4" w:fontKey="{193304E5-A7DA-46FB-9C30-CDB5E353C915}"/>
  </w:font>
  <w:font w:name="楷体_GB2312">
    <w:altName w:val="楷体"/>
    <w:panose1 w:val="02010609030101010101"/>
    <w:charset w:val="86"/>
    <w:family w:val="auto"/>
    <w:pitch w:val="default"/>
    <w:sig w:usb0="00000000" w:usb1="00000000" w:usb2="00000000" w:usb3="00000000" w:csb0="00040000" w:csb1="00000000"/>
    <w:embedRegular r:id="rId5" w:fontKey="{D61A93BB-BB89-4C10-86BE-A6E97245E1F8}"/>
  </w:font>
  <w:font w:name="方正仿宋_GBK">
    <w:panose1 w:val="03000509000000000000"/>
    <w:charset w:val="86"/>
    <w:family w:val="script"/>
    <w:pitch w:val="default"/>
    <w:sig w:usb0="00000001" w:usb1="080E0000" w:usb2="00000000" w:usb3="00000000" w:csb0="00040000" w:csb1="00000000"/>
    <w:embedRegular r:id="rId6" w:fontKey="{F0BD7B15-D376-44DC-93D8-FFE66BDC4B7F}"/>
  </w:font>
  <w:font w:name="楷体">
    <w:panose1 w:val="02010609060101010101"/>
    <w:charset w:val="86"/>
    <w:family w:val="modern"/>
    <w:pitch w:val="default"/>
    <w:sig w:usb0="800002BF" w:usb1="38CF7CFA" w:usb2="00000016" w:usb3="00000000" w:csb0="00040001" w:csb1="00000000"/>
    <w:embedRegular r:id="rId7" w:fontKey="{3E556E3A-23A8-4263-8029-86350F7AFF1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TMwYjc0NGU2ZWQxMjM0YWQyZTBjMGUyYmZiYzg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11A7349"/>
    <w:rsid w:val="01794AE6"/>
    <w:rsid w:val="032E7049"/>
    <w:rsid w:val="04AF02D8"/>
    <w:rsid w:val="060E0879"/>
    <w:rsid w:val="07660241"/>
    <w:rsid w:val="09026019"/>
    <w:rsid w:val="09DA6CC4"/>
    <w:rsid w:val="0D5A6ACA"/>
    <w:rsid w:val="12492C39"/>
    <w:rsid w:val="15FFCE06"/>
    <w:rsid w:val="176EB2CA"/>
    <w:rsid w:val="1B997BBA"/>
    <w:rsid w:val="1C2A7637"/>
    <w:rsid w:val="1CEF11B4"/>
    <w:rsid w:val="1D6F70E1"/>
    <w:rsid w:val="1DE9F11D"/>
    <w:rsid w:val="1DFEF48B"/>
    <w:rsid w:val="1E577D0C"/>
    <w:rsid w:val="1E5E9CAC"/>
    <w:rsid w:val="1E696778"/>
    <w:rsid w:val="1E9F4C3A"/>
    <w:rsid w:val="1FBC5602"/>
    <w:rsid w:val="1FFED141"/>
    <w:rsid w:val="216F027C"/>
    <w:rsid w:val="23790749"/>
    <w:rsid w:val="24C5387B"/>
    <w:rsid w:val="28914F58"/>
    <w:rsid w:val="2B793AD0"/>
    <w:rsid w:val="2BF6B04D"/>
    <w:rsid w:val="2CF9108B"/>
    <w:rsid w:val="2FE72238"/>
    <w:rsid w:val="30E1323A"/>
    <w:rsid w:val="33EA43EA"/>
    <w:rsid w:val="3607406A"/>
    <w:rsid w:val="366A7D01"/>
    <w:rsid w:val="36D16BD5"/>
    <w:rsid w:val="37752F0F"/>
    <w:rsid w:val="37DB54BF"/>
    <w:rsid w:val="3BF7822D"/>
    <w:rsid w:val="3D18621D"/>
    <w:rsid w:val="3ECB2752"/>
    <w:rsid w:val="3EF3FC2D"/>
    <w:rsid w:val="3F4E83B9"/>
    <w:rsid w:val="3F791594"/>
    <w:rsid w:val="3F7F3D35"/>
    <w:rsid w:val="3FEF825B"/>
    <w:rsid w:val="40CA6112"/>
    <w:rsid w:val="427E0043"/>
    <w:rsid w:val="43366B3C"/>
    <w:rsid w:val="45813EBC"/>
    <w:rsid w:val="45FD8A71"/>
    <w:rsid w:val="48FF203E"/>
    <w:rsid w:val="49A40179"/>
    <w:rsid w:val="49DF8F8D"/>
    <w:rsid w:val="4B2F7815"/>
    <w:rsid w:val="4D07114B"/>
    <w:rsid w:val="4E195BF3"/>
    <w:rsid w:val="4F37A3C3"/>
    <w:rsid w:val="4FFC6F36"/>
    <w:rsid w:val="51055806"/>
    <w:rsid w:val="53DFDA61"/>
    <w:rsid w:val="54F016FD"/>
    <w:rsid w:val="55561D52"/>
    <w:rsid w:val="57D6273D"/>
    <w:rsid w:val="57F7A238"/>
    <w:rsid w:val="57FFFCA8"/>
    <w:rsid w:val="584E13C7"/>
    <w:rsid w:val="5ABFA6AD"/>
    <w:rsid w:val="5B42386F"/>
    <w:rsid w:val="5BD6492A"/>
    <w:rsid w:val="5CB7BA99"/>
    <w:rsid w:val="5CFE9876"/>
    <w:rsid w:val="5D95E3D3"/>
    <w:rsid w:val="5DDE8EDA"/>
    <w:rsid w:val="5DFE7261"/>
    <w:rsid w:val="5EB623FC"/>
    <w:rsid w:val="5F2F86E9"/>
    <w:rsid w:val="5FE1784B"/>
    <w:rsid w:val="5FE7E072"/>
    <w:rsid w:val="5FFC71C1"/>
    <w:rsid w:val="5FFF199C"/>
    <w:rsid w:val="61D65D43"/>
    <w:rsid w:val="63255659"/>
    <w:rsid w:val="63F79408"/>
    <w:rsid w:val="63FBFE1C"/>
    <w:rsid w:val="64D916AD"/>
    <w:rsid w:val="66E20F29"/>
    <w:rsid w:val="67843A07"/>
    <w:rsid w:val="67E854B2"/>
    <w:rsid w:val="67F65CF0"/>
    <w:rsid w:val="6B013226"/>
    <w:rsid w:val="6B2823C9"/>
    <w:rsid w:val="6BEEE90C"/>
    <w:rsid w:val="6CFE95BA"/>
    <w:rsid w:val="6DD7B53C"/>
    <w:rsid w:val="6DDF82BB"/>
    <w:rsid w:val="6E433A17"/>
    <w:rsid w:val="6EFAA790"/>
    <w:rsid w:val="6EFD8677"/>
    <w:rsid w:val="6F3B0F61"/>
    <w:rsid w:val="6F9BB48F"/>
    <w:rsid w:val="6FAFCD21"/>
    <w:rsid w:val="6FFDBC71"/>
    <w:rsid w:val="6FFF42B9"/>
    <w:rsid w:val="70822B53"/>
    <w:rsid w:val="7375DF5E"/>
    <w:rsid w:val="73881315"/>
    <w:rsid w:val="739FA989"/>
    <w:rsid w:val="741C7DA4"/>
    <w:rsid w:val="747569C0"/>
    <w:rsid w:val="75387745"/>
    <w:rsid w:val="775F5835"/>
    <w:rsid w:val="777FD03C"/>
    <w:rsid w:val="78FF0635"/>
    <w:rsid w:val="79D7B71B"/>
    <w:rsid w:val="7AF20495"/>
    <w:rsid w:val="7B6D8555"/>
    <w:rsid w:val="7BB5BB3B"/>
    <w:rsid w:val="7BBD26E8"/>
    <w:rsid w:val="7BE694FB"/>
    <w:rsid w:val="7BEE3A28"/>
    <w:rsid w:val="7BF63E2C"/>
    <w:rsid w:val="7BFAD181"/>
    <w:rsid w:val="7BFF63B1"/>
    <w:rsid w:val="7D49654D"/>
    <w:rsid w:val="7D7E018B"/>
    <w:rsid w:val="7DBF609B"/>
    <w:rsid w:val="7DD9A961"/>
    <w:rsid w:val="7DDF1AF8"/>
    <w:rsid w:val="7DFB24B8"/>
    <w:rsid w:val="7DFEAF7B"/>
    <w:rsid w:val="7E3E0B3C"/>
    <w:rsid w:val="7EBFB26A"/>
    <w:rsid w:val="7EC95A9B"/>
    <w:rsid w:val="7EDF60AD"/>
    <w:rsid w:val="7EE97B2D"/>
    <w:rsid w:val="7EEB8A86"/>
    <w:rsid w:val="7EEF472E"/>
    <w:rsid w:val="7EFFCC16"/>
    <w:rsid w:val="7F3A4C55"/>
    <w:rsid w:val="7F3D22AC"/>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FFE3B6"/>
    <w:rsid w:val="EEC72D3D"/>
    <w:rsid w:val="EECB4A9B"/>
    <w:rsid w:val="EF7F1E0D"/>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before="0" w:after="140" w:line="276" w:lineRule="auto"/>
    </w:pPr>
  </w:style>
  <w:style w:type="paragraph" w:styleId="3">
    <w:name w:val="footer"/>
    <w:basedOn w:val="1"/>
    <w:next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22"/>
    <w:rPr>
      <w:b/>
      <w:bCs/>
    </w:rPr>
  </w:style>
  <w:style w:type="character" w:customStyle="1" w:styleId="8">
    <w:name w:val="apple-converted-space"/>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18</Pages>
  <Words>5061</Words>
  <Characters>5455</Characters>
  <Lines>21</Lines>
  <Paragraphs>6</Paragraphs>
  <TotalTime>13</TotalTime>
  <ScaleCrop>false</ScaleCrop>
  <LinksUpToDate>false</LinksUpToDate>
  <CharactersWithSpaces>5517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2018-03-04T07:32:00Z</dcterms:created>
  <dc:creator>微软用户</dc:creator>
  <cp:lastModifiedBy>前锋区旅游发展服务中心</cp:lastModifiedBy>
  <cp:lastPrinted>2024-03-26T01:13:00Z</cp:lastPrinted>
  <dcterms:modified xsi:type="dcterms:W3CDTF">2025-03-24T00:29:01Z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C0B3D7129398401F83919D1901A1E6A6_12</vt:lpwstr>
  </property>
  <property fmtid="{D5CDD505-2E9C-101B-9397-08002B2CF9AE}" pid="4" name="KSOTemplateDocerSaveRecord">
    <vt:lpwstr>eyJoZGlkIjoiNzU0YzA4YzUxNDJhYjBiZWMwZWZjOTljZDYzMDIwZGYiLCJ1c2VySWQiOiIzMjM1ODYyOTcifQ==</vt:lpwstr>
  </property>
</Properties>
</file>