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C3100">
      <w:pPr>
        <w:spacing w:line="600" w:lineRule="exact"/>
        <w:jc w:val="center"/>
        <w:rPr>
          <w:rFonts w:hint="eastAsia" w:ascii="Times New Roman" w:hAnsi="Times New Roman" w:eastAsia="方正小标宋_GBK" w:cs="Times New Roman"/>
          <w:b w:val="0"/>
          <w:bCs w:val="0"/>
          <w:color w:val="auto"/>
          <w:sz w:val="44"/>
          <w:szCs w:val="44"/>
          <w:highlight w:val="none"/>
          <w:lang w:val="en-US" w:eastAsia="zh-CN"/>
        </w:rPr>
      </w:pPr>
    </w:p>
    <w:p w14:paraId="5B07C73C">
      <w:pPr>
        <w:rPr>
          <w:rFonts w:hint="default" w:ascii="Times New Roman" w:hAnsi="Times New Roman" w:eastAsia="黑体" w:cs="Times New Roman"/>
          <w:color w:val="auto"/>
          <w:sz w:val="33"/>
          <w:szCs w:val="33"/>
          <w:highlight w:val="none"/>
          <w:lang w:eastAsia="zh-CN"/>
        </w:rPr>
      </w:pPr>
    </w:p>
    <w:p w14:paraId="515C353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33"/>
          <w:szCs w:val="33"/>
          <w:highlight w:val="none"/>
          <w:lang w:val="en-US" w:eastAsia="zh-CN"/>
        </w:rPr>
      </w:pPr>
    </w:p>
    <w:p w14:paraId="6C8DD32D">
      <w:pPr>
        <w:spacing w:line="600" w:lineRule="exact"/>
        <w:ind w:firstLine="880" w:firstLineChars="200"/>
        <w:jc w:val="center"/>
        <w:rPr>
          <w:rFonts w:hint="default" w:ascii="Times New Roman" w:hAnsi="Times New Roman" w:eastAsia="方正小标宋_GBK" w:cs="Times New Roman"/>
          <w:color w:val="auto"/>
          <w:sz w:val="44"/>
          <w:szCs w:val="44"/>
          <w:highlight w:val="none"/>
        </w:rPr>
      </w:pPr>
    </w:p>
    <w:p w14:paraId="3D3F9C82">
      <w:pPr>
        <w:spacing w:line="600" w:lineRule="exact"/>
        <w:ind w:firstLine="880" w:firstLineChars="200"/>
        <w:jc w:val="center"/>
        <w:rPr>
          <w:rFonts w:hint="default" w:ascii="Times New Roman" w:hAnsi="Times New Roman" w:eastAsia="方正小标宋_GBK" w:cs="Times New Roman"/>
          <w:color w:val="auto"/>
          <w:sz w:val="44"/>
          <w:szCs w:val="44"/>
          <w:highlight w:val="none"/>
        </w:rPr>
      </w:pPr>
    </w:p>
    <w:p w14:paraId="4F910A7B">
      <w:pPr>
        <w:spacing w:line="600" w:lineRule="exact"/>
        <w:ind w:firstLine="880" w:firstLineChars="200"/>
        <w:jc w:val="center"/>
        <w:rPr>
          <w:rFonts w:hint="default" w:ascii="Times New Roman" w:hAnsi="Times New Roman" w:eastAsia="方正小标宋_GBK" w:cs="Times New Roman"/>
          <w:color w:val="auto"/>
          <w:sz w:val="44"/>
          <w:szCs w:val="44"/>
          <w:highlight w:val="none"/>
        </w:rPr>
      </w:pPr>
    </w:p>
    <w:p w14:paraId="21642491">
      <w:pPr>
        <w:spacing w:line="600" w:lineRule="exact"/>
        <w:ind w:firstLine="880" w:firstLineChars="200"/>
        <w:jc w:val="center"/>
        <w:rPr>
          <w:rFonts w:hint="default" w:ascii="Times New Roman" w:hAnsi="Times New Roman" w:eastAsia="方正小标宋_GBK" w:cs="Times New Roman"/>
          <w:color w:val="auto"/>
          <w:sz w:val="44"/>
          <w:szCs w:val="44"/>
          <w:highlight w:val="none"/>
        </w:rPr>
      </w:pPr>
    </w:p>
    <w:p w14:paraId="16F1F198">
      <w:pPr>
        <w:spacing w:line="600" w:lineRule="exact"/>
        <w:ind w:firstLine="880" w:firstLineChars="200"/>
        <w:jc w:val="center"/>
        <w:rPr>
          <w:rFonts w:hint="default" w:ascii="Times New Roman" w:hAnsi="Times New Roman" w:eastAsia="方正小标宋_GBK" w:cs="Times New Roman"/>
          <w:color w:val="auto"/>
          <w:sz w:val="44"/>
          <w:szCs w:val="44"/>
          <w:highlight w:val="none"/>
        </w:rPr>
      </w:pPr>
    </w:p>
    <w:p w14:paraId="36FD67BB">
      <w:pPr>
        <w:spacing w:line="600" w:lineRule="exact"/>
        <w:ind w:firstLine="880" w:firstLineChars="200"/>
        <w:jc w:val="center"/>
        <w:rPr>
          <w:rFonts w:hint="default" w:ascii="Times New Roman" w:hAnsi="Times New Roman" w:eastAsia="方正小标宋_GBK" w:cs="Times New Roman"/>
          <w:color w:val="auto"/>
          <w:sz w:val="44"/>
          <w:szCs w:val="44"/>
          <w:highlight w:val="none"/>
        </w:rPr>
      </w:pPr>
    </w:p>
    <w:p w14:paraId="29E07BD3">
      <w:pPr>
        <w:spacing w:line="600" w:lineRule="exact"/>
        <w:ind w:firstLine="880" w:firstLineChars="200"/>
        <w:jc w:val="center"/>
        <w:rPr>
          <w:rFonts w:hint="default" w:ascii="Times New Roman" w:hAnsi="Times New Roman" w:eastAsia="方正小标宋_GBK" w:cs="Times New Roman"/>
          <w:color w:val="auto"/>
          <w:sz w:val="44"/>
          <w:szCs w:val="44"/>
          <w:highlight w:val="none"/>
        </w:rPr>
      </w:pPr>
    </w:p>
    <w:p w14:paraId="1E8191C6">
      <w:pPr>
        <w:spacing w:line="600" w:lineRule="exact"/>
        <w:ind w:firstLine="880" w:firstLineChars="200"/>
        <w:jc w:val="center"/>
        <w:rPr>
          <w:rFonts w:hint="default" w:ascii="Times New Roman" w:hAnsi="Times New Roman" w:eastAsia="方正小标宋_GBK" w:cs="Times New Roman"/>
          <w:color w:val="auto"/>
          <w:sz w:val="44"/>
          <w:szCs w:val="44"/>
          <w:highlight w:val="none"/>
        </w:rPr>
      </w:pPr>
    </w:p>
    <w:p w14:paraId="6F1C22DA">
      <w:pPr>
        <w:spacing w:line="800" w:lineRule="exact"/>
        <w:jc w:val="center"/>
        <w:rPr>
          <w:rFonts w:hint="default" w:ascii="Times New Roman" w:hAnsi="Times New Roman" w:eastAsia="方正小标宋_GBK" w:cs="Times New Roman"/>
          <w:color w:val="auto"/>
          <w:sz w:val="72"/>
          <w:szCs w:val="72"/>
          <w:highlight w:val="none"/>
        </w:rPr>
      </w:pPr>
      <w:r>
        <w:rPr>
          <w:rFonts w:hint="eastAsia" w:ascii="Times New Roman" w:hAnsi="Times New Roman" w:eastAsia="方正小标宋_GBK" w:cs="Times New Roman"/>
          <w:color w:val="auto"/>
          <w:sz w:val="72"/>
          <w:szCs w:val="72"/>
          <w:highlight w:val="none"/>
          <w:lang w:val="en-US" w:eastAsia="zh-CN"/>
        </w:rPr>
        <w:t>广安市前锋区观阁镇人民政府2026</w:t>
      </w:r>
      <w:r>
        <w:rPr>
          <w:rFonts w:hint="default" w:ascii="Times New Roman" w:hAnsi="Times New Roman" w:eastAsia="方正小标宋_GBK" w:cs="Times New Roman"/>
          <w:color w:val="auto"/>
          <w:sz w:val="72"/>
          <w:szCs w:val="72"/>
          <w:highlight w:val="none"/>
        </w:rPr>
        <w:t>年部门预算</w:t>
      </w:r>
    </w:p>
    <w:p w14:paraId="26C018AF">
      <w:pPr>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br w:type="page"/>
      </w:r>
    </w:p>
    <w:p w14:paraId="355B73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小标宋_GBK" w:cs="Times New Roman"/>
          <w:color w:val="auto"/>
          <w:sz w:val="44"/>
          <w:szCs w:val="44"/>
          <w:highlight w:val="none"/>
          <w:lang w:eastAsia="zh-CN"/>
        </w:rPr>
      </w:pPr>
      <w:bookmarkStart w:id="3" w:name="_GoBack"/>
      <w:r>
        <w:rPr>
          <w:rFonts w:hint="default" w:ascii="Times New Roman" w:hAnsi="Times New Roman" w:eastAsia="方正小标宋_GBK" w:cs="Times New Roman"/>
          <w:color w:val="auto"/>
          <w:sz w:val="44"/>
          <w:szCs w:val="44"/>
          <w:highlight w:val="none"/>
          <w:lang w:eastAsia="zh-CN"/>
        </w:rPr>
        <w:t>目</w:t>
      </w:r>
      <w:r>
        <w:rPr>
          <w:rFonts w:hint="default" w:ascii="Times New Roman" w:hAnsi="Times New Roman" w:eastAsia="方正小标宋_GBK" w:cs="Times New Roman"/>
          <w:color w:val="auto"/>
          <w:sz w:val="44"/>
          <w:szCs w:val="44"/>
          <w:highlight w:val="none"/>
          <w:lang w:val="en-US" w:eastAsia="zh-CN"/>
        </w:rPr>
        <w:t xml:space="preserve">  </w:t>
      </w:r>
      <w:r>
        <w:rPr>
          <w:rFonts w:hint="default" w:ascii="Times New Roman" w:hAnsi="Times New Roman" w:eastAsia="方正小标宋_GBK" w:cs="Times New Roman"/>
          <w:color w:val="auto"/>
          <w:sz w:val="44"/>
          <w:szCs w:val="44"/>
          <w:highlight w:val="none"/>
          <w:lang w:eastAsia="zh-CN"/>
        </w:rPr>
        <w:t>录</w:t>
      </w:r>
    </w:p>
    <w:p w14:paraId="0504D9F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方正小标宋_GBK" w:cs="Times New Roman"/>
          <w:color w:val="auto"/>
          <w:sz w:val="36"/>
          <w:szCs w:val="36"/>
          <w:highlight w:val="none"/>
          <w:lang w:val="en-US" w:eastAsia="zh-CN"/>
        </w:rPr>
      </w:pPr>
      <w:r>
        <w:rPr>
          <w:rFonts w:hint="eastAsia" w:ascii="Times New Roman" w:hAnsi="Times New Roman" w:eastAsia="方正小标宋_GBK" w:cs="Times New Roman"/>
          <w:color w:val="auto"/>
          <w:sz w:val="36"/>
          <w:szCs w:val="36"/>
          <w:highlight w:val="none"/>
          <w:lang w:val="en-US" w:eastAsia="zh-CN"/>
        </w:rPr>
        <w:t>（公开时间：2026年2月5日）</w:t>
      </w:r>
    </w:p>
    <w:p w14:paraId="7FDCC9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 xml:space="preserve">第一部分  </w:t>
      </w:r>
      <w:r>
        <w:rPr>
          <w:rFonts w:hint="eastAsia" w:ascii="Times New Roman" w:hAnsi="Times New Roman" w:eastAsia="黑体" w:cs="Times New Roman"/>
          <w:color w:val="auto"/>
          <w:kern w:val="0"/>
          <w:sz w:val="32"/>
          <w:szCs w:val="32"/>
          <w:highlight w:val="none"/>
          <w:lang w:val="en-US" w:eastAsia="zh-CN" w:bidi="ar"/>
        </w:rPr>
        <w:t>广安市前锋区观阁镇人民政府</w:t>
      </w:r>
      <w:r>
        <w:rPr>
          <w:rFonts w:hint="default" w:ascii="Times New Roman" w:hAnsi="Times New Roman" w:eastAsia="黑体" w:cs="Times New Roman"/>
          <w:color w:val="auto"/>
          <w:kern w:val="0"/>
          <w:sz w:val="32"/>
          <w:szCs w:val="32"/>
          <w:highlight w:val="none"/>
          <w:lang w:val="en-US" w:eastAsia="zh-CN" w:bidi="ar"/>
        </w:rPr>
        <w:t>概况</w:t>
      </w:r>
    </w:p>
    <w:p w14:paraId="644F79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rPr>
        <w:t>一、</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基本职能及主要工作</w:t>
      </w:r>
    </w:p>
    <w:p w14:paraId="169623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rPr>
        <w:t>二、</w:t>
      </w:r>
      <w:r>
        <w:rPr>
          <w:rFonts w:hint="eastAsia" w:ascii="Times New Roman" w:hAnsi="Times New Roman" w:eastAsia="仿宋_GB2312" w:cs="仿宋_GB2312"/>
          <w:i w:val="0"/>
          <w:caps w:val="0"/>
          <w:color w:val="auto"/>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auto"/>
          <w:spacing w:val="0"/>
          <w:sz w:val="32"/>
          <w:szCs w:val="32"/>
          <w:highlight w:val="none"/>
          <w:shd w:val="clear" w:color="auto" w:fill="auto"/>
        </w:rPr>
        <w:t>预算单位构成</w:t>
      </w:r>
    </w:p>
    <w:p w14:paraId="5F97F1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第</w:t>
      </w:r>
      <w:r>
        <w:rPr>
          <w:rFonts w:hint="eastAsia" w:ascii="Times New Roman" w:hAnsi="Times New Roman" w:eastAsia="黑体" w:cs="Times New Roman"/>
          <w:color w:val="auto"/>
          <w:kern w:val="0"/>
          <w:sz w:val="32"/>
          <w:szCs w:val="32"/>
          <w:highlight w:val="none"/>
          <w:lang w:val="en-US" w:eastAsia="zh-CN" w:bidi="ar"/>
        </w:rPr>
        <w:t>二</w:t>
      </w:r>
      <w:r>
        <w:rPr>
          <w:rFonts w:hint="default" w:ascii="Times New Roman" w:hAnsi="Times New Roman" w:eastAsia="黑体" w:cs="Times New Roman"/>
          <w:color w:val="auto"/>
          <w:kern w:val="0"/>
          <w:sz w:val="32"/>
          <w:szCs w:val="32"/>
          <w:highlight w:val="none"/>
          <w:lang w:val="en-US" w:eastAsia="zh-CN" w:bidi="ar"/>
        </w:rPr>
        <w:t>部分</w:t>
      </w:r>
      <w:r>
        <w:rPr>
          <w:rFonts w:hint="eastAsia" w:ascii="Times New Roman" w:hAnsi="Times New Roman" w:eastAsia="黑体" w:cs="Times New Roman"/>
          <w:color w:val="auto"/>
          <w:kern w:val="0"/>
          <w:sz w:val="32"/>
          <w:szCs w:val="32"/>
          <w:highlight w:val="none"/>
          <w:lang w:val="en-US" w:eastAsia="zh-CN" w:bidi="ar"/>
        </w:rPr>
        <w:t xml:space="preserve"> </w:t>
      </w:r>
      <w:r>
        <w:rPr>
          <w:rFonts w:hint="default" w:ascii="Times New Roman" w:hAnsi="Times New Roman" w:eastAsia="黑体" w:cs="Times New Roman"/>
          <w:color w:val="auto"/>
          <w:kern w:val="0"/>
          <w:sz w:val="32"/>
          <w:szCs w:val="32"/>
          <w:highlight w:val="none"/>
          <w:lang w:val="en-US" w:eastAsia="zh-CN" w:bidi="ar"/>
        </w:rPr>
        <w:t xml:space="preserve"> </w:t>
      </w:r>
      <w:r>
        <w:rPr>
          <w:rFonts w:hint="eastAsia" w:ascii="Times New Roman" w:hAnsi="Times New Roman" w:eastAsia="黑体" w:cs="Times New Roman"/>
          <w:color w:val="auto"/>
          <w:kern w:val="0"/>
          <w:sz w:val="32"/>
          <w:szCs w:val="32"/>
          <w:highlight w:val="none"/>
          <w:lang w:val="en-US" w:eastAsia="zh-CN" w:bidi="ar"/>
        </w:rPr>
        <w:t>广安市前锋区观阁镇人民政府</w:t>
      </w:r>
      <w:r>
        <w:rPr>
          <w:rFonts w:hint="default" w:ascii="Times New Roman" w:hAnsi="Times New Roman" w:eastAsia="黑体" w:cs="Times New Roman"/>
          <w:color w:val="auto"/>
          <w:kern w:val="0"/>
          <w:sz w:val="32"/>
          <w:szCs w:val="32"/>
          <w:highlight w:val="none"/>
          <w:lang w:val="en-US" w:eastAsia="zh-CN" w:bidi="ar"/>
        </w:rPr>
        <w:t>202</w:t>
      </w:r>
      <w:r>
        <w:rPr>
          <w:rFonts w:hint="eastAsia" w:ascii="Times New Roman" w:hAnsi="Times New Roman" w:eastAsia="黑体" w:cs="Times New Roman"/>
          <w:color w:val="auto"/>
          <w:kern w:val="0"/>
          <w:sz w:val="32"/>
          <w:szCs w:val="32"/>
          <w:highlight w:val="none"/>
          <w:lang w:val="en-US" w:eastAsia="zh-CN" w:bidi="ar"/>
        </w:rPr>
        <w:t>6</w:t>
      </w:r>
      <w:r>
        <w:rPr>
          <w:rFonts w:hint="default" w:ascii="Times New Roman" w:hAnsi="Times New Roman" w:eastAsia="黑体" w:cs="Times New Roman"/>
          <w:color w:val="auto"/>
          <w:kern w:val="0"/>
          <w:sz w:val="32"/>
          <w:szCs w:val="32"/>
          <w:highlight w:val="none"/>
          <w:lang w:val="en-US" w:eastAsia="zh-CN" w:bidi="ar"/>
        </w:rPr>
        <w:t>年部门预算情况说明</w:t>
      </w:r>
    </w:p>
    <w:p w14:paraId="5CEB29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第</w:t>
      </w:r>
      <w:r>
        <w:rPr>
          <w:rFonts w:hint="eastAsia" w:ascii="Times New Roman" w:hAnsi="Times New Roman" w:eastAsia="黑体" w:cs="Times New Roman"/>
          <w:color w:val="auto"/>
          <w:kern w:val="0"/>
          <w:sz w:val="32"/>
          <w:szCs w:val="32"/>
          <w:highlight w:val="none"/>
          <w:lang w:val="en-US" w:eastAsia="zh-CN" w:bidi="ar"/>
        </w:rPr>
        <w:t>三</w:t>
      </w:r>
      <w:r>
        <w:rPr>
          <w:rFonts w:hint="default" w:ascii="Times New Roman" w:hAnsi="Times New Roman" w:eastAsia="黑体" w:cs="Times New Roman"/>
          <w:color w:val="auto"/>
          <w:kern w:val="0"/>
          <w:sz w:val="32"/>
          <w:szCs w:val="32"/>
          <w:highlight w:val="none"/>
          <w:lang w:val="en-US" w:eastAsia="zh-CN" w:bidi="ar"/>
        </w:rPr>
        <w:t>部分</w:t>
      </w:r>
      <w:r>
        <w:rPr>
          <w:rFonts w:hint="eastAsia" w:ascii="Times New Roman" w:hAnsi="Times New Roman" w:eastAsia="黑体" w:cs="Times New Roman"/>
          <w:color w:val="auto"/>
          <w:kern w:val="0"/>
          <w:sz w:val="32"/>
          <w:szCs w:val="32"/>
          <w:highlight w:val="none"/>
          <w:lang w:val="en-US" w:eastAsia="zh-CN" w:bidi="ar"/>
        </w:rPr>
        <w:t xml:space="preserve">  </w:t>
      </w:r>
      <w:r>
        <w:rPr>
          <w:rFonts w:hint="default" w:ascii="Times New Roman" w:hAnsi="Times New Roman" w:eastAsia="黑体" w:cs="Times New Roman"/>
          <w:color w:val="auto"/>
          <w:kern w:val="0"/>
          <w:sz w:val="32"/>
          <w:szCs w:val="32"/>
          <w:highlight w:val="none"/>
          <w:lang w:val="en-US" w:eastAsia="zh-CN" w:bidi="ar"/>
        </w:rPr>
        <w:t>名词解释</w:t>
      </w:r>
    </w:p>
    <w:p w14:paraId="5A8122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第</w:t>
      </w:r>
      <w:r>
        <w:rPr>
          <w:rFonts w:hint="eastAsia" w:ascii="Times New Roman" w:hAnsi="Times New Roman" w:eastAsia="黑体" w:cs="Times New Roman"/>
          <w:color w:val="auto"/>
          <w:kern w:val="0"/>
          <w:sz w:val="32"/>
          <w:szCs w:val="32"/>
          <w:highlight w:val="none"/>
          <w:lang w:val="en-US" w:eastAsia="zh-CN" w:bidi="ar"/>
        </w:rPr>
        <w:t>四</w:t>
      </w:r>
      <w:r>
        <w:rPr>
          <w:rFonts w:hint="default" w:ascii="Times New Roman" w:hAnsi="Times New Roman" w:eastAsia="黑体" w:cs="Times New Roman"/>
          <w:color w:val="auto"/>
          <w:kern w:val="0"/>
          <w:sz w:val="32"/>
          <w:szCs w:val="32"/>
          <w:highlight w:val="none"/>
          <w:lang w:val="en-US" w:eastAsia="zh-CN" w:bidi="ar"/>
        </w:rPr>
        <w:t>部分</w:t>
      </w:r>
      <w:r>
        <w:rPr>
          <w:rFonts w:hint="eastAsia" w:ascii="Times New Roman" w:hAnsi="Times New Roman" w:eastAsia="黑体" w:cs="Times New Roman"/>
          <w:color w:val="auto"/>
          <w:kern w:val="0"/>
          <w:sz w:val="32"/>
          <w:szCs w:val="32"/>
          <w:highlight w:val="none"/>
          <w:lang w:val="en-US" w:eastAsia="zh-CN" w:bidi="ar"/>
        </w:rPr>
        <w:t xml:space="preserve"> </w:t>
      </w:r>
      <w:r>
        <w:rPr>
          <w:rFonts w:hint="default" w:ascii="Times New Roman" w:hAnsi="Times New Roman" w:eastAsia="黑体" w:cs="Times New Roman"/>
          <w:color w:val="auto"/>
          <w:kern w:val="0"/>
          <w:sz w:val="32"/>
          <w:szCs w:val="32"/>
          <w:highlight w:val="none"/>
          <w:lang w:val="en-US" w:eastAsia="zh-CN" w:bidi="ar"/>
        </w:rPr>
        <w:t xml:space="preserve"> </w:t>
      </w:r>
      <w:r>
        <w:rPr>
          <w:rFonts w:hint="eastAsia" w:ascii="Times New Roman" w:hAnsi="Times New Roman" w:eastAsia="黑体" w:cs="Times New Roman"/>
          <w:color w:val="auto"/>
          <w:kern w:val="0"/>
          <w:sz w:val="32"/>
          <w:szCs w:val="32"/>
          <w:highlight w:val="none"/>
          <w:lang w:val="en-US" w:eastAsia="zh-CN" w:bidi="ar"/>
        </w:rPr>
        <w:t>广安市前锋区观阁镇人民政府</w:t>
      </w:r>
      <w:r>
        <w:rPr>
          <w:rFonts w:hint="default" w:ascii="Times New Roman" w:hAnsi="Times New Roman" w:eastAsia="黑体" w:cs="Times New Roman"/>
          <w:color w:val="auto"/>
          <w:kern w:val="0"/>
          <w:sz w:val="32"/>
          <w:szCs w:val="32"/>
          <w:highlight w:val="none"/>
          <w:lang w:val="en-US" w:eastAsia="zh-CN" w:bidi="ar"/>
        </w:rPr>
        <w:t>202</w:t>
      </w:r>
      <w:r>
        <w:rPr>
          <w:rFonts w:hint="eastAsia" w:ascii="Times New Roman" w:hAnsi="Times New Roman" w:eastAsia="黑体" w:cs="Times New Roman"/>
          <w:color w:val="auto"/>
          <w:kern w:val="0"/>
          <w:sz w:val="32"/>
          <w:szCs w:val="32"/>
          <w:highlight w:val="none"/>
          <w:lang w:val="en-US" w:eastAsia="zh-CN" w:bidi="ar"/>
        </w:rPr>
        <w:t>6</w:t>
      </w:r>
      <w:r>
        <w:rPr>
          <w:rFonts w:hint="default" w:ascii="Times New Roman" w:hAnsi="Times New Roman" w:eastAsia="黑体" w:cs="Times New Roman"/>
          <w:color w:val="auto"/>
          <w:kern w:val="0"/>
          <w:sz w:val="32"/>
          <w:szCs w:val="32"/>
          <w:highlight w:val="none"/>
          <w:lang w:val="en-US" w:eastAsia="zh-CN" w:bidi="ar"/>
        </w:rPr>
        <w:t>年部门预算表</w:t>
      </w:r>
    </w:p>
    <w:p w14:paraId="438AAC1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表1 部门收支总表</w:t>
      </w:r>
    </w:p>
    <w:p w14:paraId="6384D797">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表1-1 部门收入总表</w:t>
      </w:r>
    </w:p>
    <w:p w14:paraId="7AFC84D0">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表1-2 部门支出总表</w:t>
      </w:r>
    </w:p>
    <w:p w14:paraId="793FA147">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表2 财政拨款收支</w:t>
      </w:r>
      <w:r>
        <w:rPr>
          <w:rFonts w:hint="eastAsia"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总表</w:t>
      </w:r>
    </w:p>
    <w:p w14:paraId="262AA30E">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表2-1财政拨款支出预算表（</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经济分类科目）</w:t>
      </w:r>
    </w:p>
    <w:p w14:paraId="67B4BDA3">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表3 一般公共预算支出预算表</w:t>
      </w:r>
    </w:p>
    <w:p w14:paraId="586AF602">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表3-1 一般公共预算基本支出预算表</w:t>
      </w:r>
    </w:p>
    <w:p w14:paraId="38702F22">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表3-2一般公共预算项目支出预算表</w:t>
      </w:r>
    </w:p>
    <w:p w14:paraId="5EC72BFF">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表3-3 一般公共预算“三公”经费支出</w:t>
      </w:r>
      <w:r>
        <w:rPr>
          <w:rFonts w:hint="default"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表</w:t>
      </w:r>
    </w:p>
    <w:p w14:paraId="74C9C5B8">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表4 政府性基金</w:t>
      </w:r>
      <w:r>
        <w:rPr>
          <w:rFonts w:hint="eastAsia"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支出预算表</w:t>
      </w:r>
    </w:p>
    <w:p w14:paraId="0C1135CC">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表4-1 政府性基金预算“三公”经费支出预算表</w:t>
      </w:r>
    </w:p>
    <w:p w14:paraId="2391B0E5">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表5 国有资本经营预算支出预算表</w:t>
      </w:r>
    </w:p>
    <w:p w14:paraId="04429067">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表6 部门预算项目绩效目标</w:t>
      </w:r>
      <w:r>
        <w:rPr>
          <w:rFonts w:hint="default" w:ascii="Times New Roman" w:hAnsi="Times New Roman" w:eastAsia="仿宋_GB2312" w:cs="Times New Roman"/>
          <w:color w:val="auto"/>
          <w:sz w:val="32"/>
          <w:szCs w:val="32"/>
          <w:highlight w:val="none"/>
          <w:lang w:eastAsia="zh-CN"/>
        </w:rPr>
        <w:t>表</w:t>
      </w:r>
    </w:p>
    <w:p w14:paraId="1764616C">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表</w:t>
      </w:r>
      <w:r>
        <w:rPr>
          <w:rFonts w:hint="default" w:ascii="Times New Roman" w:hAnsi="Times New Roman" w:eastAsia="仿宋_GB2312" w:cs="Times New Roman"/>
          <w:color w:val="auto"/>
          <w:sz w:val="32"/>
          <w:szCs w:val="32"/>
          <w:highlight w:val="none"/>
          <w:lang w:val="en-US" w:eastAsia="zh-CN"/>
        </w:rPr>
        <w:t>7 部门整体支出绩效目标表</w:t>
      </w:r>
    </w:p>
    <w:p w14:paraId="5D93C7F9">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p>
    <w:p w14:paraId="34E7AEAF">
      <w:pPr>
        <w:rPr>
          <w:rFonts w:hint="default" w:ascii="Times New Roman" w:hAnsi="Times New Roman" w:eastAsia="方正小标宋_GBK" w:cs="Times New Roman"/>
          <w:color w:val="auto"/>
          <w:sz w:val="44"/>
          <w:szCs w:val="44"/>
          <w:highlight w:val="none"/>
        </w:rPr>
      </w:pPr>
    </w:p>
    <w:p w14:paraId="32A928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DD399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15591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0DAE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A3E8C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2DBD3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D0E8C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3A722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7F0E4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D9069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广安市前锋区观阁镇人民政府概况</w:t>
      </w:r>
    </w:p>
    <w:p w14:paraId="2FD455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7"/>
          <w:rFonts w:hint="eastAsia" w:ascii="Times New Roman" w:hAnsi="Times New Roman" w:eastAsia="黑体" w:cs="宋体"/>
          <w:b w:val="0"/>
          <w:bCs/>
          <w:i w:val="0"/>
          <w:caps w:val="0"/>
          <w:color w:val="auto"/>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43BD1572">
      <w:pPr>
        <w:spacing w:line="600" w:lineRule="exact"/>
        <w:ind w:firstLine="640" w:firstLineChars="200"/>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一、基本职能及主要工作</w:t>
      </w:r>
    </w:p>
    <w:p w14:paraId="6DB75C9E">
      <w:pPr>
        <w:spacing w:line="600" w:lineRule="exact"/>
        <w:ind w:firstLine="643" w:firstLineChars="200"/>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（一）</w:t>
      </w:r>
      <w:r>
        <w:rPr>
          <w:rFonts w:hint="eastAsia" w:ascii="Times New Roman" w:hAnsi="Times New Roman" w:eastAsia="楷体_GB2312" w:cs="Times New Roman"/>
          <w:b/>
          <w:color w:val="auto"/>
          <w:sz w:val="32"/>
          <w:szCs w:val="32"/>
          <w:highlight w:val="none"/>
          <w:lang w:val="en-US" w:eastAsia="zh-CN"/>
        </w:rPr>
        <w:t>广安市前锋区观阁镇人民政府</w:t>
      </w:r>
      <w:r>
        <w:rPr>
          <w:rFonts w:hint="default" w:ascii="Times New Roman" w:hAnsi="Times New Roman" w:eastAsia="楷体_GB2312" w:cs="Times New Roman"/>
          <w:b/>
          <w:color w:val="auto"/>
          <w:sz w:val="32"/>
          <w:szCs w:val="32"/>
          <w:highlight w:val="none"/>
        </w:rPr>
        <w:t>职能简介。</w:t>
      </w:r>
    </w:p>
    <w:p w14:paraId="50DFA9CB">
      <w:pPr>
        <w:spacing w:line="600" w:lineRule="exact"/>
        <w:ind w:firstLine="640" w:firstLineChars="200"/>
        <w:rPr>
          <w:rFonts w:hint="eastAsia"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1.</w:t>
      </w:r>
      <w:r>
        <w:rPr>
          <w:rFonts w:hint="default" w:ascii="Times New Roman" w:hAnsi="Times New Roman" w:eastAsia="仿宋_GB2312" w:cs="Times New Roman"/>
          <w:color w:val="auto"/>
          <w:kern w:val="2"/>
          <w:sz w:val="32"/>
          <w:szCs w:val="22"/>
          <w:highlight w:val="none"/>
          <w:lang w:val="en-US" w:eastAsia="zh-CN" w:bidi="ar-SA"/>
        </w:rPr>
        <w:t>宣传贯彻执行党和国家的路线、方针、政策、法律、 法规和上级党委、政府的决定、命令</w:t>
      </w: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指示；执行本级党代会 和人民代表大会的决定、决议和工作部署。</w:t>
      </w:r>
      <w:r>
        <w:rPr>
          <w:rFonts w:hint="eastAsia" w:ascii="Times New Roman" w:hAnsi="Times New Roman" w:eastAsia="仿宋_GB2312" w:cs="Times New Roman"/>
          <w:color w:val="auto"/>
          <w:kern w:val="2"/>
          <w:sz w:val="32"/>
          <w:szCs w:val="22"/>
          <w:highlight w:val="none"/>
          <w:lang w:val="en-US" w:eastAsia="zh-CN" w:bidi="ar-SA"/>
        </w:rPr>
        <w:t xml:space="preserve">     </w:t>
      </w:r>
    </w:p>
    <w:p w14:paraId="7CCD31F8">
      <w:pPr>
        <w:spacing w:line="600" w:lineRule="exact"/>
        <w:ind w:firstLine="640" w:firstLineChars="200"/>
        <w:rPr>
          <w:rFonts w:hint="default"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2.</w:t>
      </w:r>
      <w:r>
        <w:rPr>
          <w:rFonts w:hint="default" w:ascii="Times New Roman" w:hAnsi="Times New Roman" w:eastAsia="仿宋_GB2312" w:cs="Times New Roman"/>
          <w:color w:val="auto"/>
          <w:kern w:val="2"/>
          <w:sz w:val="32"/>
          <w:szCs w:val="22"/>
          <w:highlight w:val="none"/>
          <w:lang w:val="en-US" w:eastAsia="zh-CN" w:bidi="ar-SA"/>
        </w:rPr>
        <w:t>加强党的建设。推进全面从严治党，严格抓好基层党组织各项制度建设，加强农村党的基层组织建设、干部队伍建设、党员队伍建设；全面加强农村基层宣传思想文化工作， 抓好党的意识形态和精神文明建设工作，进一步增强党</w:t>
      </w:r>
      <w:r>
        <w:rPr>
          <w:rFonts w:hint="eastAsia" w:ascii="Times New Roman" w:hAnsi="Times New Roman" w:eastAsia="仿宋_GB2312" w:cs="Times New Roman"/>
          <w:color w:val="auto"/>
          <w:kern w:val="2"/>
          <w:sz w:val="32"/>
          <w:szCs w:val="22"/>
          <w:highlight w:val="none"/>
          <w:lang w:val="en-US" w:eastAsia="zh-CN" w:bidi="ar-SA"/>
        </w:rPr>
        <w:t>的政治领导力、思想引领力、群众组织力、社会号召力</w:t>
      </w:r>
      <w:r>
        <w:rPr>
          <w:rFonts w:hint="default" w:ascii="Times New Roman" w:hAnsi="Times New Roman" w:eastAsia="仿宋_GB2312" w:cs="Times New Roman"/>
          <w:color w:val="auto"/>
          <w:kern w:val="2"/>
          <w:sz w:val="32"/>
          <w:szCs w:val="22"/>
          <w:highlight w:val="none"/>
          <w:lang w:val="en-US" w:eastAsia="zh-CN" w:bidi="ar-SA"/>
        </w:rPr>
        <w:t xml:space="preserve">；深化党风廉政建设和反腐败工作；加强党管武装工作；加强和改进对工会、共青团和妇联等群团工作的领导，推动党群共建。 </w:t>
      </w:r>
    </w:p>
    <w:p w14:paraId="705A9900">
      <w:pPr>
        <w:spacing w:line="600" w:lineRule="exact"/>
        <w:ind w:firstLine="640" w:firstLineChars="200"/>
        <w:rPr>
          <w:rFonts w:hint="eastAsia"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3.</w:t>
      </w:r>
      <w:r>
        <w:rPr>
          <w:rFonts w:hint="default" w:ascii="Times New Roman" w:hAnsi="Times New Roman" w:eastAsia="仿宋_GB2312" w:cs="Times New Roman"/>
          <w:color w:val="auto"/>
          <w:kern w:val="2"/>
          <w:sz w:val="32"/>
          <w:szCs w:val="22"/>
          <w:highlight w:val="none"/>
          <w:lang w:val="en-US" w:eastAsia="zh-CN" w:bidi="ar-SA"/>
        </w:rPr>
        <w:t>加强经济发展。根据经济社会发展特点，统筹制定 并落实辖区发展的重大决策和建设规划；制定完善经济发展规 划，调整经济结构，转变经济增长方式；贯彻执行乡村振兴战略的决策部署，做好农业、农村、农民和社区工作；加强农业 综合生产能力建设，健全</w:t>
      </w:r>
      <w:r>
        <w:rPr>
          <w:rFonts w:hint="eastAsia" w:ascii="Times New Roman" w:hAnsi="Times New Roman" w:eastAsia="仿宋_GB2312" w:cs="Times New Roman"/>
          <w:color w:val="auto"/>
          <w:kern w:val="2"/>
          <w:sz w:val="32"/>
          <w:szCs w:val="22"/>
          <w:highlight w:val="none"/>
          <w:lang w:val="en-US" w:eastAsia="zh-CN" w:bidi="ar-SA"/>
        </w:rPr>
        <w:t>农业社会化服务体系</w:t>
      </w:r>
      <w:r>
        <w:rPr>
          <w:rFonts w:hint="default" w:ascii="Times New Roman" w:hAnsi="Times New Roman" w:eastAsia="仿宋_GB2312" w:cs="Times New Roman"/>
          <w:color w:val="auto"/>
          <w:kern w:val="2"/>
          <w:sz w:val="32"/>
          <w:szCs w:val="22"/>
          <w:highlight w:val="none"/>
          <w:lang w:val="en-US" w:eastAsia="zh-CN" w:bidi="ar-SA"/>
        </w:rPr>
        <w:t xml:space="preserve">，推进农业现代化进程；为辖区内企业做好服务工作；着力提升经济发展的质 量和水平，因地制宜组织发展区域特色经济，发展壮大农村集体经济，促进农民持续增收。 </w:t>
      </w:r>
      <w:r>
        <w:rPr>
          <w:rFonts w:hint="eastAsia" w:ascii="Times New Roman" w:hAnsi="Times New Roman" w:eastAsia="仿宋_GB2312" w:cs="Times New Roman"/>
          <w:color w:val="auto"/>
          <w:kern w:val="2"/>
          <w:sz w:val="32"/>
          <w:szCs w:val="22"/>
          <w:highlight w:val="none"/>
          <w:lang w:val="en-US" w:eastAsia="zh-CN" w:bidi="ar-SA"/>
        </w:rPr>
        <w:t xml:space="preserve">     </w:t>
      </w:r>
    </w:p>
    <w:p w14:paraId="1016A71E">
      <w:pPr>
        <w:spacing w:line="600" w:lineRule="exact"/>
        <w:ind w:firstLine="640" w:firstLineChars="200"/>
        <w:rPr>
          <w:rFonts w:hint="default"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4.</w:t>
      </w:r>
      <w:r>
        <w:rPr>
          <w:rFonts w:hint="default" w:ascii="Times New Roman" w:hAnsi="Times New Roman" w:eastAsia="仿宋_GB2312" w:cs="Times New Roman"/>
          <w:color w:val="auto"/>
          <w:kern w:val="2"/>
          <w:sz w:val="32"/>
          <w:szCs w:val="22"/>
          <w:highlight w:val="none"/>
          <w:lang w:val="en-US" w:eastAsia="zh-CN" w:bidi="ar-SA"/>
        </w:rPr>
        <w:t xml:space="preserve">加强社会管理。配合制定并实施社会发展规划；负责或配合做好区域内的民政、公安、司法、人民武装、自然资 源、卫生健康、安全生产、环境保护、市场监管、粮食安全、 社会救助、扶贫助残等工作；加强农村规划建设和财政管理工 作，负责区域内的社区、社团和经济组织的管理，发挥社团、行业组织和社会中介组织的作用。加强村（居）民委员会和住宅小区业委会建设，组织村（居）民参与村（社区）建设管理，健全党组织领导的自治、法治、德治“三治融合”的城乡基层治理体系；推进政务、村（居）务公开；加强镇村规划建设、自然资源管理、农村宅基地管理、生态环境保护工作；保障退役军人合法权益；承担辖区内来信来访工作；动员辖区内各类社会力量参与村（社区）民主法治建设。 </w:t>
      </w:r>
    </w:p>
    <w:p w14:paraId="51C29AB3">
      <w:pPr>
        <w:spacing w:line="600" w:lineRule="exact"/>
        <w:ind w:firstLine="640" w:firstLineChars="200"/>
        <w:rPr>
          <w:rFonts w:hint="eastAsia" w:ascii="方正仿宋_GBK" w:hAnsi="方正仿宋_GBK" w:eastAsia="方正仿宋_GBK" w:cs="方正仿宋_GBK"/>
          <w:color w:val="auto"/>
          <w:kern w:val="2"/>
          <w:sz w:val="32"/>
          <w:szCs w:val="22"/>
          <w:highlight w:val="none"/>
          <w:lang w:val="en-US" w:eastAsia="zh-CN" w:bidi="ar-SA"/>
        </w:rPr>
      </w:pPr>
      <w:r>
        <w:rPr>
          <w:rFonts w:hint="default" w:ascii="Times New Roman" w:hAnsi="Times New Roman" w:eastAsia="方正仿宋_GBK" w:cs="Times New Roman"/>
          <w:color w:val="auto"/>
          <w:kern w:val="2"/>
          <w:sz w:val="32"/>
          <w:szCs w:val="22"/>
          <w:highlight w:val="none"/>
          <w:lang w:val="en-US" w:eastAsia="zh-CN" w:bidi="ar-SA"/>
        </w:rPr>
        <w:t>5.提</w:t>
      </w:r>
      <w:r>
        <w:rPr>
          <w:rFonts w:hint="eastAsia" w:ascii="方正仿宋_GBK" w:hAnsi="方正仿宋_GBK" w:eastAsia="方正仿宋_GBK" w:cs="方正仿宋_GBK"/>
          <w:color w:val="auto"/>
          <w:kern w:val="2"/>
          <w:sz w:val="32"/>
          <w:szCs w:val="22"/>
          <w:highlight w:val="none"/>
          <w:lang w:val="en-US" w:eastAsia="zh-CN" w:bidi="ar-SA"/>
        </w:rPr>
        <w:t xml:space="preserve">供公共服务。编制区域内各项社会事业发展规划，完善社会化服务体系；建立健全社会化服务体系，落实教育文化、科技人才、卫生健康、劳动就业、社会保障、民政优抚、妇女儿童保护、残疾人保护、退役军人事务等方面相关政策；组织引导农村劳动力转移和就业，提供政策、科技、信息、就业培训等服务；加强辖区内公共基础设施、农田水利、镇村道路和各项公益事业建设，加大农村环境综合整治力度，改善人居环境；推进“放管服”改革，健全完善镇村两级便民服务体系，加强政务服务规范化建设，优化便民服务质量。 </w:t>
      </w:r>
    </w:p>
    <w:p w14:paraId="7260F3DF">
      <w:pPr>
        <w:spacing w:line="600" w:lineRule="exact"/>
        <w:ind w:firstLine="640" w:firstLineChars="200"/>
        <w:rPr>
          <w:rFonts w:hint="default"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6.</w:t>
      </w:r>
      <w:r>
        <w:rPr>
          <w:rFonts w:hint="default" w:ascii="Times New Roman" w:hAnsi="Times New Roman" w:eastAsia="仿宋_GB2312" w:cs="Times New Roman"/>
          <w:color w:val="auto"/>
          <w:kern w:val="2"/>
          <w:sz w:val="32"/>
          <w:szCs w:val="22"/>
          <w:highlight w:val="none"/>
          <w:lang w:val="en-US" w:eastAsia="zh-CN" w:bidi="ar-SA"/>
        </w:rPr>
        <w:t>维护社会稳定。加强社会治安综合治理、平安建设、 禁毒和公共安全管理工作，构建公共安全防控体系，依法保护 各类经济组织和公民的合法权益；建立防灾减灾等区域性、突 发性事件的预防和处置工作机制；负责辖区安全生产监管，加强辖区应急管理、安全生产、消防安全、食品安全、农产品质量安全</w:t>
      </w:r>
      <w:r>
        <w:rPr>
          <w:rFonts w:hint="eastAsia" w:ascii="Times New Roman" w:hAnsi="Times New Roman" w:eastAsia="仿宋_GB2312" w:cs="Times New Roman"/>
          <w:color w:val="auto"/>
          <w:kern w:val="2"/>
          <w:sz w:val="32"/>
          <w:szCs w:val="22"/>
          <w:highlight w:val="none"/>
          <w:lang w:val="en-US" w:eastAsia="zh-CN" w:bidi="ar-SA"/>
        </w:rPr>
        <w:t>生产</w:t>
      </w:r>
      <w:r>
        <w:rPr>
          <w:rFonts w:hint="default" w:ascii="Times New Roman" w:hAnsi="Times New Roman" w:eastAsia="仿宋_GB2312" w:cs="Times New Roman"/>
          <w:color w:val="auto"/>
          <w:kern w:val="2"/>
          <w:sz w:val="32"/>
          <w:szCs w:val="22"/>
          <w:highlight w:val="none"/>
          <w:lang w:val="en-US" w:eastAsia="zh-CN" w:bidi="ar-SA"/>
        </w:rPr>
        <w:t>监督管理工作；健全应急管理体系，组织抢险救灾，及时上报和处置重大社情、疫情、险情等，提升安全事故防控 和自然灾害防治能力，保护人民群众的生命财产安全；强化民主</w:t>
      </w:r>
      <w:r>
        <w:rPr>
          <w:rFonts w:hint="eastAsia" w:ascii="Times New Roman" w:hAnsi="Times New Roman" w:eastAsia="仿宋_GB2312" w:cs="Times New Roman"/>
          <w:color w:val="auto"/>
          <w:kern w:val="2"/>
          <w:sz w:val="32"/>
          <w:szCs w:val="22"/>
          <w:highlight w:val="none"/>
          <w:lang w:val="en-US" w:eastAsia="zh-CN" w:bidi="ar-SA"/>
        </w:rPr>
        <w:t>法治宣传教育</w:t>
      </w:r>
      <w:r>
        <w:rPr>
          <w:rFonts w:hint="default" w:ascii="Times New Roman" w:hAnsi="Times New Roman" w:eastAsia="仿宋_GB2312" w:cs="Times New Roman"/>
          <w:color w:val="auto"/>
          <w:kern w:val="2"/>
          <w:sz w:val="32"/>
          <w:szCs w:val="22"/>
          <w:highlight w:val="none"/>
          <w:lang w:val="en-US" w:eastAsia="zh-CN" w:bidi="ar-SA"/>
        </w:rPr>
        <w:t>、畅通诉求渠道、调解民事纠纷、化解社会矛盾，处理群众性突发事件，构建民间矛盾纠纷调处体系，做好基层信访调解工作，化解社会矛盾，维护社会秩序和社会稳定；抓好法</w:t>
      </w:r>
      <w:r>
        <w:rPr>
          <w:rFonts w:hint="eastAsia" w:ascii="Times New Roman" w:hAnsi="Times New Roman" w:eastAsia="仿宋_GB2312" w:cs="Times New Roman"/>
          <w:color w:val="auto"/>
          <w:kern w:val="2"/>
          <w:sz w:val="32"/>
          <w:szCs w:val="22"/>
          <w:highlight w:val="none"/>
          <w:lang w:val="en-US" w:eastAsia="zh-CN" w:bidi="ar-SA"/>
        </w:rPr>
        <w:t>治</w:t>
      </w:r>
      <w:r>
        <w:rPr>
          <w:rFonts w:hint="default" w:ascii="Times New Roman" w:hAnsi="Times New Roman" w:eastAsia="仿宋_GB2312" w:cs="Times New Roman"/>
          <w:color w:val="auto"/>
          <w:kern w:val="2"/>
          <w:sz w:val="32"/>
          <w:szCs w:val="22"/>
          <w:highlight w:val="none"/>
          <w:lang w:val="en-US" w:eastAsia="zh-CN" w:bidi="ar-SA"/>
        </w:rPr>
        <w:t>宣传和普法教育，增强公民</w:t>
      </w:r>
      <w:r>
        <w:rPr>
          <w:rFonts w:hint="eastAsia" w:ascii="Times New Roman" w:hAnsi="Times New Roman" w:eastAsia="仿宋_GB2312" w:cs="Times New Roman"/>
          <w:color w:val="auto"/>
          <w:kern w:val="2"/>
          <w:sz w:val="32"/>
          <w:szCs w:val="22"/>
          <w:highlight w:val="none"/>
          <w:lang w:val="en-US" w:eastAsia="zh-CN" w:bidi="ar-SA"/>
        </w:rPr>
        <w:t>法治意识</w:t>
      </w:r>
      <w:r>
        <w:rPr>
          <w:rFonts w:hint="default" w:ascii="Times New Roman" w:hAnsi="Times New Roman" w:eastAsia="仿宋_GB2312" w:cs="Times New Roman"/>
          <w:color w:val="auto"/>
          <w:kern w:val="2"/>
          <w:sz w:val="32"/>
          <w:szCs w:val="22"/>
          <w:highlight w:val="none"/>
          <w:lang w:val="en-US" w:eastAsia="zh-CN" w:bidi="ar-SA"/>
        </w:rPr>
        <w:t xml:space="preserve">；加强对违法青少年的帮教转化工作；保护老年人、妇女、儿童和残疾人的合法权益。 </w:t>
      </w:r>
    </w:p>
    <w:p w14:paraId="0A0DA252">
      <w:pPr>
        <w:spacing w:line="600" w:lineRule="exact"/>
        <w:ind w:firstLine="640" w:firstLineChars="200"/>
        <w:rPr>
          <w:rFonts w:hint="default"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7.</w:t>
      </w:r>
      <w:r>
        <w:rPr>
          <w:rFonts w:hint="default" w:ascii="Times New Roman" w:hAnsi="Times New Roman" w:eastAsia="仿宋_GB2312" w:cs="Times New Roman"/>
          <w:color w:val="auto"/>
          <w:kern w:val="2"/>
          <w:sz w:val="32"/>
          <w:szCs w:val="22"/>
          <w:highlight w:val="none"/>
          <w:lang w:val="en-US" w:eastAsia="zh-CN" w:bidi="ar-SA"/>
        </w:rPr>
        <w:t xml:space="preserve">加强基层组织管理。加强和改进对基层党组织的领导，指导和支持村（居）民委员会依法自治，推进村（居）务公开，促进村（居）民委员会的组织建设和制度建设，加强对 农村集体资金、资产、资源管理的监管工作；充分发挥工会、 共青团、妇联等群众团体的桥梁纽带作用，向区委、区政府反 映基层组织管理方面的意见和建议。 </w:t>
      </w:r>
    </w:p>
    <w:p w14:paraId="0372020C">
      <w:pPr>
        <w:spacing w:line="600" w:lineRule="exact"/>
        <w:ind w:firstLine="640" w:firstLineChars="200"/>
        <w:rPr>
          <w:rFonts w:hint="default"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8.法律法规</w:t>
      </w:r>
      <w:r>
        <w:rPr>
          <w:rFonts w:hint="default" w:ascii="Times New Roman" w:hAnsi="Times New Roman" w:eastAsia="仿宋_GB2312" w:cs="Times New Roman"/>
          <w:color w:val="auto"/>
          <w:kern w:val="2"/>
          <w:sz w:val="32"/>
          <w:szCs w:val="22"/>
          <w:highlight w:val="none"/>
          <w:lang w:val="en-US" w:eastAsia="zh-CN" w:bidi="ar-SA"/>
        </w:rPr>
        <w:t>、规章规定的其他职责，完成区委、区政府交办的其他任务。</w:t>
      </w:r>
    </w:p>
    <w:p w14:paraId="7E954DA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w:t>
      </w:r>
      <w:r>
        <w:rPr>
          <w:rFonts w:hint="eastAsia" w:ascii="Times New Roman" w:hAnsi="Times New Roman" w:eastAsia="楷体_GB2312" w:cs="Times New Roman"/>
          <w:b/>
          <w:color w:val="auto"/>
          <w:sz w:val="32"/>
          <w:szCs w:val="32"/>
          <w:highlight w:val="none"/>
          <w:lang w:val="en-US" w:eastAsia="zh-CN"/>
        </w:rPr>
        <w:t>广安市前锋区观阁镇人民政府</w:t>
      </w:r>
      <w:r>
        <w:rPr>
          <w:rFonts w:hint="eastAsia" w:ascii="Times New Roman" w:hAnsi="Times New Roman" w:eastAsia="楷体_GB2312" w:cs="Times New Roman"/>
          <w:b/>
          <w:color w:val="auto"/>
          <w:sz w:val="32"/>
          <w:szCs w:val="32"/>
          <w:highlight w:val="none"/>
          <w:lang w:eastAsia="zh-CN"/>
        </w:rPr>
        <w:t>202</w:t>
      </w:r>
      <w:r>
        <w:rPr>
          <w:rFonts w:hint="eastAsia" w:ascii="Times New Roman" w:hAnsi="Times New Roman" w:eastAsia="楷体_GB2312" w:cs="Times New Roman"/>
          <w:b/>
          <w:color w:val="auto"/>
          <w:sz w:val="32"/>
          <w:szCs w:val="32"/>
          <w:highlight w:val="none"/>
          <w:lang w:val="en-US" w:eastAsia="zh-CN"/>
        </w:rPr>
        <w:t>6</w:t>
      </w:r>
      <w:r>
        <w:rPr>
          <w:rFonts w:hint="default" w:ascii="Times New Roman" w:hAnsi="Times New Roman" w:eastAsia="楷体_GB2312" w:cs="Times New Roman"/>
          <w:b/>
          <w:color w:val="auto"/>
          <w:sz w:val="32"/>
          <w:szCs w:val="32"/>
          <w:highlight w:val="none"/>
          <w:lang w:eastAsia="zh-CN"/>
        </w:rPr>
        <w:t>年</w:t>
      </w:r>
      <w:r>
        <w:rPr>
          <w:rFonts w:hint="default" w:ascii="Times New Roman" w:hAnsi="Times New Roman" w:eastAsia="楷体_GB2312" w:cs="Times New Roman"/>
          <w:b/>
          <w:color w:val="auto"/>
          <w:sz w:val="32"/>
          <w:szCs w:val="32"/>
          <w:highlight w:val="none"/>
        </w:rPr>
        <w:t>重点工作。</w:t>
      </w:r>
    </w:p>
    <w:p w14:paraId="36F01325">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黑体_GBK" w:cs="Times New Roman"/>
          <w:b w:val="0"/>
          <w:bCs w:val="0"/>
          <w:color w:val="auto"/>
          <w:kern w:val="0"/>
          <w:sz w:val="33"/>
          <w:szCs w:val="33"/>
          <w:highlight w:val="none"/>
          <w:lang w:val="en-US" w:eastAsia="zh-CN" w:bidi="ar-SA"/>
        </w:rPr>
      </w:pPr>
      <w:r>
        <w:rPr>
          <w:rFonts w:hint="default" w:ascii="Times New Roman" w:hAnsi="Times New Roman" w:eastAsia="方正黑体_GBK" w:cs="Times New Roman"/>
          <w:b w:val="0"/>
          <w:bCs w:val="0"/>
          <w:color w:val="auto"/>
          <w:kern w:val="0"/>
          <w:sz w:val="33"/>
          <w:szCs w:val="33"/>
          <w:highlight w:val="none"/>
          <w:lang w:val="en-US" w:eastAsia="zh-CN" w:bidi="ar-SA"/>
        </w:rPr>
        <w:t>一、聚焦队伍建设，锻造干事创业“主力军”</w:t>
      </w:r>
    </w:p>
    <w:p w14:paraId="0600BC9C">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仿宋_GBK" w:cs="Times New Roman"/>
          <w:color w:val="auto"/>
          <w:kern w:val="0"/>
          <w:sz w:val="33"/>
          <w:szCs w:val="33"/>
          <w:highlight w:val="none"/>
          <w:lang w:val="en-US" w:eastAsia="zh-CN" w:bidi="ar-SA"/>
        </w:rPr>
      </w:pPr>
      <w:r>
        <w:rPr>
          <w:rFonts w:hint="default" w:ascii="Times New Roman" w:hAnsi="Times New Roman" w:eastAsia="方正仿宋_GBK" w:cs="Times New Roman"/>
          <w:color w:val="auto"/>
          <w:kern w:val="0"/>
          <w:sz w:val="33"/>
          <w:szCs w:val="33"/>
          <w:highlight w:val="none"/>
          <w:lang w:val="en-US" w:eastAsia="zh-CN" w:bidi="ar-SA"/>
        </w:rPr>
        <w:t>坚持以习近平新时代中国特色社会主义思想为指导，深入学习贯彻习近平总书记关于发扬“三牛”精神、激励担当作为、树立和践行正确政绩观等重要论述，扎实开展专题学习教育，坚决破除惰性思维与消极观念，持续强化实干实绩导向。扎实做好村（社区）“两委”换届“后半篇文章”，通过专题培训、定向送学等多种方式，全面提升新任干部的政治素养与业务能力，着力锻造一支敢闯敢干、善作善成的基层骨干队伍。坚持问题导向，举一反三抓好区委巡察、经责审计反馈问题整改落实，统筹推进党的思想、组织、作风、纪律建设，纵深推进</w:t>
      </w:r>
      <w:r>
        <w:rPr>
          <w:rFonts w:hint="eastAsia" w:ascii="Times New Roman" w:hAnsi="Times New Roman" w:eastAsia="方正仿宋_GBK" w:cs="Times New Roman"/>
          <w:color w:val="auto"/>
          <w:kern w:val="0"/>
          <w:sz w:val="33"/>
          <w:szCs w:val="33"/>
          <w:highlight w:val="none"/>
          <w:lang w:val="en-US" w:eastAsia="zh-CN" w:bidi="ar-SA"/>
        </w:rPr>
        <w:t>政府</w:t>
      </w:r>
      <w:r>
        <w:rPr>
          <w:rFonts w:hint="default" w:ascii="Times New Roman" w:hAnsi="Times New Roman" w:eastAsia="方正仿宋_GBK" w:cs="Times New Roman"/>
          <w:color w:val="auto"/>
          <w:kern w:val="0"/>
          <w:sz w:val="33"/>
          <w:szCs w:val="33"/>
          <w:highlight w:val="none"/>
          <w:lang w:val="en-US" w:eastAsia="zh-CN" w:bidi="ar-SA"/>
        </w:rPr>
        <w:t>党风廉政建设和反腐败斗争，扎实防范化解重大风险，抓好意识形态领域主导权，全力构建上下同心、团结奋进的良好政治生态。</w:t>
      </w:r>
    </w:p>
    <w:p w14:paraId="786B2505">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黑体_GBK" w:cs="Times New Roman"/>
          <w:b w:val="0"/>
          <w:bCs w:val="0"/>
          <w:color w:val="auto"/>
          <w:kern w:val="0"/>
          <w:sz w:val="33"/>
          <w:szCs w:val="33"/>
          <w:highlight w:val="none"/>
          <w:lang w:val="en-US" w:eastAsia="zh-CN" w:bidi="ar-SA"/>
        </w:rPr>
      </w:pPr>
      <w:r>
        <w:rPr>
          <w:rFonts w:hint="default" w:ascii="Times New Roman" w:hAnsi="Times New Roman" w:eastAsia="方正黑体_GBK" w:cs="Times New Roman"/>
          <w:b w:val="0"/>
          <w:bCs w:val="0"/>
          <w:color w:val="auto"/>
          <w:kern w:val="0"/>
          <w:sz w:val="33"/>
          <w:szCs w:val="33"/>
          <w:highlight w:val="none"/>
          <w:lang w:val="en-US" w:eastAsia="zh-CN" w:bidi="ar-SA"/>
        </w:rPr>
        <w:t>二、攻坚重大项目，筑牢高质量发展“硬支撑”</w:t>
      </w:r>
    </w:p>
    <w:p w14:paraId="63D004B3">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仿宋_GBK" w:cs="Times New Roman"/>
          <w:color w:val="auto"/>
          <w:kern w:val="0"/>
          <w:sz w:val="33"/>
          <w:szCs w:val="33"/>
          <w:highlight w:val="none"/>
          <w:lang w:val="en-US" w:eastAsia="zh-CN" w:bidi="ar-SA"/>
        </w:rPr>
      </w:pPr>
      <w:r>
        <w:rPr>
          <w:rFonts w:hint="default" w:ascii="Times New Roman" w:hAnsi="Times New Roman" w:eastAsia="方正仿宋_GBK" w:cs="Times New Roman"/>
          <w:color w:val="auto"/>
          <w:kern w:val="0"/>
          <w:sz w:val="33"/>
          <w:szCs w:val="33"/>
          <w:highlight w:val="none"/>
          <w:lang w:val="en-US" w:eastAsia="zh-CN" w:bidi="ar-SA"/>
        </w:rPr>
        <w:t>倒排工期、挂图作战，全力推进全省四星级农业园区、百强中心镇及大良城传统村落文化院落等项目建设，确保落地见效。主动靠前服务，全力配合做好G660渝广快速通道（观阁段）前期工作。加快场镇水网、气网、电网及通信网的升级改造，年内完成3000余户用户自来水、燃气管道改造任务。系统实施场镇雨污分流工程，同步推进道路黑化、照明亮化、环境美化、管理规范化建设，完善污水配套管网，推动通信、电缆等线路逐步下地改造，全方位提升城镇综合承载能力与发展品质。</w:t>
      </w:r>
    </w:p>
    <w:p w14:paraId="758B749F">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黑体_GBK" w:cs="Times New Roman"/>
          <w:b w:val="0"/>
          <w:bCs w:val="0"/>
          <w:color w:val="auto"/>
          <w:kern w:val="0"/>
          <w:sz w:val="33"/>
          <w:szCs w:val="33"/>
          <w:highlight w:val="none"/>
          <w:lang w:val="en-US" w:eastAsia="zh-CN" w:bidi="ar-SA"/>
        </w:rPr>
      </w:pPr>
      <w:r>
        <w:rPr>
          <w:rFonts w:hint="default" w:ascii="Times New Roman" w:hAnsi="Times New Roman" w:eastAsia="方正黑体_GBK" w:cs="Times New Roman"/>
          <w:b w:val="0"/>
          <w:bCs w:val="0"/>
          <w:color w:val="auto"/>
          <w:kern w:val="0"/>
          <w:sz w:val="33"/>
          <w:szCs w:val="33"/>
          <w:highlight w:val="none"/>
          <w:lang w:val="en-US" w:eastAsia="zh-CN" w:bidi="ar-SA"/>
        </w:rPr>
        <w:t>三、狠抓产业提质，激活乡村振兴“新动能”</w:t>
      </w:r>
    </w:p>
    <w:p w14:paraId="7F8BEC25">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仿宋_GBK" w:cs="Times New Roman"/>
          <w:color w:val="auto"/>
          <w:kern w:val="0"/>
          <w:sz w:val="33"/>
          <w:szCs w:val="33"/>
          <w:highlight w:val="none"/>
          <w:lang w:val="en-US" w:eastAsia="zh-CN" w:bidi="ar-SA"/>
        </w:rPr>
      </w:pPr>
      <w:r>
        <w:rPr>
          <w:rFonts w:hint="default" w:ascii="Times New Roman" w:hAnsi="Times New Roman" w:eastAsia="方正仿宋_GBK" w:cs="Times New Roman"/>
          <w:color w:val="auto"/>
          <w:kern w:val="0"/>
          <w:sz w:val="33"/>
          <w:szCs w:val="33"/>
          <w:highlight w:val="none"/>
          <w:lang w:val="en-US" w:eastAsia="zh-CN" w:bidi="ar-SA"/>
        </w:rPr>
        <w:t>紧扣优质粮油核心区定位，进一步完善农事服务中心、粮油加工厂功能配套，提升农业规模化、机械化生产水平，做优做强七谷</w:t>
      </w:r>
      <w:r>
        <w:rPr>
          <w:rFonts w:hint="default" w:ascii="Times New Roman" w:hAnsi="Times New Roman" w:eastAsia="方正仿宋_GBK" w:cs="Times New Roman"/>
          <w:b w:val="0"/>
          <w:bCs w:val="0"/>
          <w:color w:val="auto"/>
          <w:sz w:val="33"/>
          <w:szCs w:val="33"/>
          <w:highlight w:val="none"/>
          <w:lang w:val="en-US" w:eastAsia="zh-CN"/>
        </w:rPr>
        <w:t>“富锶”香米</w:t>
      </w:r>
      <w:r>
        <w:rPr>
          <w:rFonts w:hint="default" w:ascii="Times New Roman" w:hAnsi="Times New Roman" w:eastAsia="方正仿宋_GBK" w:cs="Times New Roman"/>
          <w:color w:val="auto"/>
          <w:kern w:val="0"/>
          <w:sz w:val="33"/>
          <w:szCs w:val="33"/>
          <w:highlight w:val="none"/>
          <w:lang w:val="en-US" w:eastAsia="zh-CN" w:bidi="ar-SA"/>
        </w:rPr>
        <w:t>品牌。深挖现代特色农业潜力，盘活撂荒土地资源，巩固发展大良枳壳、珠石花椒等特色产业，积极引进市场主体，探索精加工渠道，切实增强产业抗风险能力。积极探索“农业+互联网”新模式，深化与电商平台合作，支持“村书记侯铁”等本土网红账号开展直播带货，加快构建“育种—加工—销售”一体化的全产业链。</w:t>
      </w:r>
      <w:r>
        <w:rPr>
          <w:rFonts w:hint="eastAsia" w:ascii="Times New Roman" w:hAnsi="Times New Roman" w:eastAsia="方正仿宋_GBK" w:cs="Times New Roman"/>
          <w:color w:val="auto"/>
          <w:kern w:val="0"/>
          <w:sz w:val="33"/>
          <w:szCs w:val="33"/>
          <w:highlight w:val="none"/>
          <w:lang w:val="en-US" w:eastAsia="zh-CN" w:bidi="ar-SA"/>
        </w:rPr>
        <w:t>积极</w:t>
      </w:r>
      <w:r>
        <w:rPr>
          <w:rFonts w:hint="default" w:ascii="Times New Roman" w:hAnsi="Times New Roman" w:eastAsia="方正仿宋_GBK" w:cs="Times New Roman"/>
          <w:color w:val="auto"/>
          <w:kern w:val="0"/>
          <w:sz w:val="33"/>
          <w:szCs w:val="33"/>
          <w:highlight w:val="none"/>
          <w:lang w:val="en-US" w:eastAsia="zh-CN" w:bidi="ar-SA"/>
        </w:rPr>
        <w:t>有效盘活场镇存量土地和国有资产，依托轻纺人才集聚优势，发挥就业驿站桥梁作用，积极承接前锋园区产业外溢，吸引企业到观阁设立富民车间、加工厂房，促进人流、物流、资金流加速集聚，激发场镇商业活力，形成“产业带动就业、就业繁荣场镇”的良性循环。做活农文旅融合文章，加快大良田园核心区景观化、体验式改造步伐，联动大良村传统院落保护开发项目，打造集文化探源、乡村休闲、亲子研学于一体的近郊文旅打卡点，同步培育发展民宿、农家乐、特色文创体验等业态，带动本地村民就近就业，让乡村振兴的产业底盘越筑越牢。</w:t>
      </w:r>
    </w:p>
    <w:p w14:paraId="6118C7AC">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黑体_GBK" w:cs="Times New Roman"/>
          <w:b w:val="0"/>
          <w:bCs w:val="0"/>
          <w:color w:val="auto"/>
          <w:kern w:val="0"/>
          <w:sz w:val="33"/>
          <w:szCs w:val="33"/>
          <w:highlight w:val="none"/>
          <w:lang w:val="en-US" w:eastAsia="zh-CN" w:bidi="ar-SA"/>
        </w:rPr>
      </w:pPr>
      <w:r>
        <w:rPr>
          <w:rFonts w:hint="default" w:ascii="Times New Roman" w:hAnsi="Times New Roman" w:eastAsia="方正黑体_GBK" w:cs="Times New Roman"/>
          <w:b w:val="0"/>
          <w:bCs w:val="0"/>
          <w:color w:val="auto"/>
          <w:kern w:val="0"/>
          <w:sz w:val="33"/>
          <w:szCs w:val="33"/>
          <w:highlight w:val="none"/>
          <w:lang w:val="en-US" w:eastAsia="zh-CN" w:bidi="ar-SA"/>
        </w:rPr>
        <w:t>四、厚植民生福祉，绘就幸福生活“新画卷”</w:t>
      </w:r>
    </w:p>
    <w:p w14:paraId="0AA7DF7F">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仿宋_GBK" w:cs="Times New Roman"/>
          <w:color w:val="auto"/>
          <w:kern w:val="0"/>
          <w:sz w:val="33"/>
          <w:szCs w:val="33"/>
          <w:highlight w:val="none"/>
          <w:lang w:val="en-US" w:eastAsia="zh-CN" w:bidi="ar-SA"/>
        </w:rPr>
      </w:pPr>
      <w:r>
        <w:rPr>
          <w:rFonts w:hint="default" w:ascii="Times New Roman" w:hAnsi="Times New Roman" w:eastAsia="方正仿宋_GBK" w:cs="Times New Roman"/>
          <w:color w:val="auto"/>
          <w:kern w:val="0"/>
          <w:sz w:val="33"/>
          <w:szCs w:val="33"/>
          <w:highlight w:val="none"/>
          <w:lang w:val="en-US" w:eastAsia="zh-CN" w:bidi="ar-SA"/>
        </w:rPr>
        <w:t>持续加大普惠性、基础性、兜底性民生投入，高标准办好各级民生实事，让发展成果更有温度、更贴近民心。规划建设大岩寨公园、观阁休闲生态公园，沿河打造绿植河堤与生态步道，为居民构建高品质休闲游憩空间。拓展见习就业基地岗位供给，广泛开展就业服务活动，重点支持贫困劳动力、下岗失业人员、退役军人等群体就业创业，织密扎牢社会保障网。精准落实城乡低保、临时救助、优抚安置等政策，用心用情做好农民工、退役军人服务保障，持续深化留守儿童、独居老人关爱服务，努力实现社会福祉共建共享。</w:t>
      </w:r>
    </w:p>
    <w:p w14:paraId="4E918272">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黑体_GBK" w:cs="Times New Roman"/>
          <w:b w:val="0"/>
          <w:bCs w:val="0"/>
          <w:color w:val="auto"/>
          <w:kern w:val="0"/>
          <w:sz w:val="33"/>
          <w:szCs w:val="33"/>
          <w:highlight w:val="none"/>
          <w:lang w:val="en-US" w:eastAsia="zh-CN" w:bidi="ar-SA"/>
        </w:rPr>
      </w:pPr>
      <w:r>
        <w:rPr>
          <w:rFonts w:hint="default" w:ascii="Times New Roman" w:hAnsi="Times New Roman" w:eastAsia="方正黑体_GBK" w:cs="Times New Roman"/>
          <w:b w:val="0"/>
          <w:bCs w:val="0"/>
          <w:color w:val="auto"/>
          <w:kern w:val="0"/>
          <w:sz w:val="33"/>
          <w:szCs w:val="33"/>
          <w:highlight w:val="none"/>
          <w:lang w:val="en-US" w:eastAsia="zh-CN" w:bidi="ar-SA"/>
        </w:rPr>
        <w:t>五、筑牢安全底线，构建平安和谐“新格局”</w:t>
      </w:r>
    </w:p>
    <w:p w14:paraId="11FF99EA">
      <w:pPr>
        <w:keepNext w:val="0"/>
        <w:keepLines w:val="0"/>
        <w:pageBreakBefore w:val="0"/>
        <w:widowControl w:val="0"/>
        <w:kinsoku/>
        <w:wordWrap/>
        <w:overflowPunct/>
        <w:topLinePunct w:val="0"/>
        <w:autoSpaceDE/>
        <w:autoSpaceDN/>
        <w:bidi w:val="0"/>
        <w:adjustRightInd/>
        <w:spacing w:line="590" w:lineRule="exact"/>
        <w:ind w:firstLine="660" w:firstLineChars="200"/>
        <w:textAlignment w:val="auto"/>
        <w:rPr>
          <w:rFonts w:hint="default" w:ascii="Times New Roman" w:hAnsi="Times New Roman" w:eastAsia="方正仿宋_GBK" w:cs="Times New Roman"/>
          <w:color w:val="auto"/>
          <w:kern w:val="0"/>
          <w:sz w:val="33"/>
          <w:szCs w:val="33"/>
          <w:highlight w:val="none"/>
          <w:lang w:val="en-US" w:eastAsia="zh-CN" w:bidi="ar-SA"/>
        </w:rPr>
      </w:pPr>
      <w:r>
        <w:rPr>
          <w:rFonts w:hint="default" w:ascii="Times New Roman" w:hAnsi="Times New Roman" w:eastAsia="方正仿宋_GBK" w:cs="Times New Roman"/>
          <w:color w:val="auto"/>
          <w:kern w:val="0"/>
          <w:sz w:val="33"/>
          <w:szCs w:val="33"/>
          <w:highlight w:val="none"/>
          <w:lang w:val="en-US" w:eastAsia="zh-CN" w:bidi="ar-SA"/>
        </w:rPr>
        <w:t>始终把安全稳定作为发展的前提基础，紧盯道路交通、森林防灭火、在建工程、消防安全、城镇燃气、食品药品等重点行业领域，持续加大安全监管力度，坚决守住安全生产底线。加快推进平安建设现代化步伐，推动数据、能源等基础设施迭代升级，打通派出所与综治中心智慧网络壁垒，促进城乡数据一网通用、治理事务一网通管，以数字化赋能基层治理，全力筑牢平安观阁、和谐观阁的坚实屏障。</w:t>
      </w:r>
    </w:p>
    <w:p w14:paraId="118E33DD">
      <w:pPr>
        <w:spacing w:line="600" w:lineRule="exact"/>
        <w:ind w:firstLine="640" w:firstLineChars="200"/>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二、部门预算单位构成情况</w:t>
      </w:r>
    </w:p>
    <w:p w14:paraId="78FBC4A3">
      <w:pPr>
        <w:pStyle w:val="4"/>
        <w:widowControl/>
        <w:spacing w:before="0" w:beforeAutospacing="0" w:after="0" w:afterAutospacing="0" w:line="600" w:lineRule="exact"/>
        <w:ind w:firstLine="640" w:firstLineChars="200"/>
        <w:jc w:val="both"/>
        <w:outlineLvl w:val="1"/>
        <w:rPr>
          <w:rFonts w:hint="eastAsia" w:ascii="Times New Roman" w:hAnsi="Times New Roman" w:eastAsia="方正仿宋_GBK" w:cs="Times New Roman"/>
          <w:color w:val="auto"/>
          <w:sz w:val="33"/>
          <w:szCs w:val="33"/>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广安市前锋区观阁镇人民政府是一级预算单位，</w:t>
      </w:r>
      <w:r>
        <w:rPr>
          <w:rFonts w:hint="eastAsia" w:ascii="Times New Roman" w:hAnsi="Times New Roman" w:eastAsia="方正仿宋_GBK" w:cs="Times New Roman"/>
          <w:color w:val="auto"/>
          <w:sz w:val="33"/>
          <w:szCs w:val="33"/>
          <w:highlight w:val="none"/>
          <w:lang w:val="en-US" w:eastAsia="zh-CN"/>
        </w:rPr>
        <w:t>无下属二级预算单位，4个镇直属事业单位，分别为：</w:t>
      </w:r>
      <w:bookmarkStart w:id="0" w:name="_Toc371"/>
      <w:bookmarkStart w:id="1" w:name="_Toc3452"/>
      <w:bookmarkStart w:id="2" w:name="_Toc26040"/>
      <w:r>
        <w:rPr>
          <w:rFonts w:hint="eastAsia" w:ascii="Times New Roman" w:hAnsi="Times New Roman" w:eastAsia="方正仿宋_GBK" w:cs="Times New Roman"/>
          <w:color w:val="auto"/>
          <w:sz w:val="33"/>
          <w:szCs w:val="33"/>
          <w:highlight w:val="none"/>
          <w:lang w:val="en-US" w:eastAsia="zh-CN"/>
        </w:rPr>
        <w:t>便民服务中心 （挂退役军人服务站牌子）、宣传文化服务中心（挂新时代文 明实践所牌子）、城建环卫服务中心、农业服务中心。</w:t>
      </w:r>
    </w:p>
    <w:p w14:paraId="251DA8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方正仿宋_GBK" w:cs="Times New Roman"/>
          <w:color w:val="auto"/>
          <w:sz w:val="33"/>
          <w:szCs w:val="33"/>
          <w:highlight w:val="none"/>
          <w:lang w:val="en-US" w:eastAsia="zh-CN"/>
        </w:rPr>
        <w:t>广安市前锋区观阁镇人民政府内设综合办事机构7个，分别为：</w:t>
      </w:r>
      <w:bookmarkEnd w:id="0"/>
      <w:bookmarkEnd w:id="1"/>
      <w:bookmarkEnd w:id="2"/>
      <w:r>
        <w:rPr>
          <w:rFonts w:hint="eastAsia" w:ascii="Times New Roman" w:hAnsi="Times New Roman" w:eastAsia="方正仿宋_GBK" w:cs="Times New Roman"/>
          <w:color w:val="auto"/>
          <w:sz w:val="33"/>
          <w:szCs w:val="33"/>
          <w:highlight w:val="none"/>
          <w:lang w:val="en-US" w:eastAsia="zh-CN"/>
        </w:rPr>
        <w:t>党建工作办公室、 经济发展和乡村振兴办公室、社会事务办公室、社会治理办公室、应急管理办公室、综合执法办公室、财政所。</w:t>
      </w:r>
    </w:p>
    <w:p w14:paraId="6C81357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E27192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45991C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DEBF8B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064B16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BED303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425DD3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9D45B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3D774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仿宋_GB2312" w:cs="仿宋_GB2312"/>
          <w:i w:val="0"/>
          <w:caps w:val="0"/>
          <w:color w:val="auto"/>
          <w:spacing w:val="0"/>
          <w:sz w:val="32"/>
          <w:szCs w:val="32"/>
          <w:highlight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广安市前锋区观阁镇人民政府2026年部门预算情况说明</w:t>
      </w:r>
    </w:p>
    <w:p w14:paraId="3B1666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rightChars="0" w:firstLine="960" w:firstLineChars="300"/>
        <w:jc w:val="both"/>
        <w:textAlignment w:val="auto"/>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、收支</w:t>
      </w:r>
      <w:r>
        <w:rPr>
          <w:rFonts w:hint="default" w:ascii="Times New Roman" w:hAnsi="Times New Roman" w:eastAsia="黑体" w:cs="Times New Roman"/>
          <w:color w:val="auto"/>
          <w:sz w:val="32"/>
          <w:szCs w:val="32"/>
          <w:highlight w:val="none"/>
          <w:lang w:eastAsia="zh-CN"/>
        </w:rPr>
        <w:t>预算情况</w:t>
      </w:r>
      <w:r>
        <w:rPr>
          <w:rFonts w:hint="eastAsia" w:ascii="Times New Roman" w:hAnsi="Times New Roman" w:eastAsia="黑体" w:cs="Times New Roman"/>
          <w:color w:val="auto"/>
          <w:sz w:val="32"/>
          <w:szCs w:val="32"/>
          <w:highlight w:val="none"/>
        </w:rPr>
        <w:t>说明</w:t>
      </w:r>
    </w:p>
    <w:p w14:paraId="0C9027CF">
      <w:pPr>
        <w:pStyle w:val="4"/>
        <w:widowControl/>
        <w:spacing w:before="0" w:beforeAutospacing="0" w:after="0" w:afterAutospacing="0" w:line="600" w:lineRule="exact"/>
        <w:ind w:firstLine="640" w:firstLineChars="200"/>
        <w:jc w:val="both"/>
        <w:outlineLvl w:val="1"/>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按照综合预算的原则，广安市前锋区观阁镇人民政府所有收入和支出均纳入部门预算管理。收入包括：一般公共预算财政拨款收入1789.66万元、政府性基金预算拨款收入0万元、国有资本经营预算拨款收入0万元、事业收入0万元、事业单位经营收入0万元，2025年结转结余21.01万元；支出包括：一般公共服务支出387.86万元、文化旅游体育与传媒支出0.72万元、社会保障和就业支出178.73万元、卫生健康支出41.98万元、城乡社区支出0万元、农林水支出1091.73万元、交通运输支出11.34万元、住房保障支出98.3万元。广安市前锋区观阁镇人民政府2026年收支预算总数1810.66万元，比2025年收支预算总数增加37.17万元，增加2.1%，主要原因是2024年有结转结余21.01万元。</w:t>
      </w:r>
    </w:p>
    <w:p w14:paraId="786976BD">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（一）收入预算情况</w:t>
      </w:r>
    </w:p>
    <w:p w14:paraId="516A5A3C">
      <w:pPr>
        <w:numPr>
          <w:ilvl w:val="0"/>
          <w:numId w:val="0"/>
        </w:num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广安市前锋区观阁镇人民政府2026年收入预算1810.66万元，其中：上年结转21.01万元，占1.16%；一般公共预算财政拨款收入1789.65万元，占98.84%；政府性基金预算拨款收入0万元，占0%；事业收入0万元，占0%。</w:t>
      </w:r>
    </w:p>
    <w:p w14:paraId="79834664">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（二）支出预算情况</w:t>
      </w:r>
    </w:p>
    <w:p w14:paraId="1C5D2367">
      <w:pPr>
        <w:numPr>
          <w:ilvl w:val="0"/>
          <w:numId w:val="0"/>
        </w:num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广安市前锋区观阁镇人民政府2026年支出预算1810.66万元，其中：基本支出1790.66万元，占98.89%；项目支出20万元，占1.11%。</w:t>
      </w:r>
    </w:p>
    <w:p w14:paraId="44158AC4">
      <w:pP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财政拨款收支</w:t>
      </w:r>
      <w:r>
        <w:rPr>
          <w:rFonts w:hint="default" w:ascii="Times New Roman" w:hAnsi="Times New Roman" w:eastAsia="黑体" w:cs="Times New Roman"/>
          <w:color w:val="auto"/>
          <w:sz w:val="32"/>
          <w:szCs w:val="32"/>
          <w:highlight w:val="none"/>
          <w:lang w:eastAsia="zh-CN"/>
        </w:rPr>
        <w:t>预算情况</w:t>
      </w:r>
      <w:r>
        <w:rPr>
          <w:rFonts w:hint="eastAsia" w:ascii="Times New Roman" w:hAnsi="Times New Roman" w:eastAsia="黑体" w:cs="Times New Roman"/>
          <w:color w:val="auto"/>
          <w:sz w:val="32"/>
          <w:szCs w:val="32"/>
          <w:highlight w:val="none"/>
          <w:lang w:eastAsia="zh-CN"/>
        </w:rPr>
        <w:t>说明</w:t>
      </w:r>
    </w:p>
    <w:p w14:paraId="0170ABC9">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广安市前锋区观阁镇人民政府2026年财政拨款收支预算总数1810.66万元，比2025年财政拨款收支预算总数增加37.17万元，增加2.1%，主要原因是2025年有结转结余21.01万元。</w:t>
      </w:r>
    </w:p>
    <w:p w14:paraId="5C03E4D4">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收入包括：本年一般公共预算财政拨款收入1789.66万元，本年政府性基金预算拨款收入0万元，本年国有资本经营预算拨款收入0万元，本年事业收入0万元，本年事业单位经营收入0万元，2025年结转结余21.01万元；支出包括：一般公共服务支出387.86万元、文化旅游体育与传媒支出0.72万元、社会保障和就业支出178.73万元、卫生健康支出41.98万元、城乡社区支出0万元、农林水支出1091.73万元、交通运输支出11.34万元、住房保障支出98.3万元。</w:t>
      </w:r>
    </w:p>
    <w:p w14:paraId="0FA9D6AE">
      <w:pP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一般公共预算</w:t>
      </w:r>
      <w:r>
        <w:rPr>
          <w:rFonts w:hint="default" w:ascii="Times New Roman" w:hAnsi="Times New Roman" w:eastAsia="黑体" w:cs="Times New Roman"/>
          <w:color w:val="auto"/>
          <w:sz w:val="32"/>
          <w:szCs w:val="32"/>
          <w:highlight w:val="none"/>
          <w:lang w:eastAsia="zh-CN"/>
        </w:rPr>
        <w:t>当年拨款情况</w:t>
      </w:r>
      <w:r>
        <w:rPr>
          <w:rFonts w:hint="eastAsia" w:ascii="Times New Roman" w:hAnsi="Times New Roman" w:eastAsia="黑体" w:cs="Times New Roman"/>
          <w:color w:val="auto"/>
          <w:sz w:val="32"/>
          <w:szCs w:val="32"/>
          <w:highlight w:val="none"/>
          <w:lang w:eastAsia="zh-CN"/>
        </w:rPr>
        <w:t>说明</w:t>
      </w:r>
    </w:p>
    <w:p w14:paraId="5DEF751D">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（一）一般公共预算当年拨款规模变化情况</w:t>
      </w:r>
    </w:p>
    <w:p w14:paraId="2ADCE4AA">
      <w:pPr>
        <w:pStyle w:val="4"/>
        <w:widowControl/>
        <w:spacing w:before="0" w:beforeAutospacing="0" w:after="0" w:afterAutospacing="0" w:line="600" w:lineRule="exact"/>
        <w:ind w:firstLine="640" w:firstLineChars="200"/>
        <w:jc w:val="both"/>
        <w:outlineLvl w:val="1"/>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广安市前锋区观阁镇人民政府2026年一般公共预算当年拨款1789.66万元，比2025年预算数增加153.05万元，增加9.35%，主要原因人员增加。</w:t>
      </w:r>
    </w:p>
    <w:p w14:paraId="2F971E2E">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（二）一般公共预算当年拨款结构情况</w:t>
      </w:r>
    </w:p>
    <w:p w14:paraId="701399AB">
      <w:pPr>
        <w:pStyle w:val="4"/>
        <w:widowControl/>
        <w:spacing w:before="0" w:beforeAutospacing="0" w:after="0" w:afterAutospacing="0" w:line="600" w:lineRule="exact"/>
        <w:ind w:firstLine="640" w:firstLineChars="200"/>
        <w:jc w:val="both"/>
        <w:outlineLvl w:val="1"/>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般公共服务支出387.86万元，占21.42%；文化旅游体育与传媒支出0.72万元，占0.04%；社会保障和就业支出178.73万元，占9.87%；卫生健康支出41.98万元，占2.32%；城乡社区支出0万元，占0%；农林水支出1091.73万元，占60.29%；交通运输支出11.34万元，占0.63%；住房保障支出98.3万元，占</w:t>
      </w:r>
      <w:r>
        <w:rPr>
          <w:rFonts w:hint="default" w:ascii="Times New Roman" w:hAnsi="Times New Roman" w:eastAsia="仿宋_GB2312" w:cs="Times New Roman"/>
          <w:color w:val="auto"/>
          <w:kern w:val="2"/>
          <w:sz w:val="32"/>
          <w:szCs w:val="32"/>
          <w:highlight w:val="none"/>
          <w:lang w:eastAsia="zh-CN" w:bidi="ar-SA"/>
        </w:rPr>
        <w:t>5.4</w:t>
      </w:r>
      <w:r>
        <w:rPr>
          <w:rFonts w:hint="eastAsia" w:ascii="Times New Roman" w:hAnsi="Times New Roman" w:eastAsia="仿宋_GB2312" w:cs="Times New Roman"/>
          <w:color w:val="auto"/>
          <w:kern w:val="2"/>
          <w:sz w:val="32"/>
          <w:szCs w:val="32"/>
          <w:highlight w:val="none"/>
          <w:lang w:val="en-US" w:eastAsia="zh-CN" w:bidi="ar-SA"/>
        </w:rPr>
        <w:t>3%。</w:t>
      </w:r>
    </w:p>
    <w:p w14:paraId="09138D9C">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（三）一般公共预算当年拨款具体使用情况</w:t>
      </w:r>
    </w:p>
    <w:p w14:paraId="678323A0">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1.一般公共服务（类）人大事务（款）代表工作（项）2026年预算数为3.6万元，主要用于：镇人大代表活动费用。</w:t>
      </w:r>
    </w:p>
    <w:p w14:paraId="25709260">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2.一般公共服务（类）政府办公厅（室）及相关机构事务（款）行政运行（项）2026年预算数为331.95万元，主要用于：人员工资和日常经费支出。</w:t>
      </w:r>
    </w:p>
    <w:p w14:paraId="1C787B82">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3.一般公共服务（类）政府办公厅（室）及相关机构事务（款）一般行政管理事务（项）2026年预算数为21.31万元，主要用于：安全生产工作支出和平安建设支出。</w:t>
      </w:r>
    </w:p>
    <w:p w14:paraId="5CA15A7A">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4.一般公共服务（类）政府办公厅（室）及相关机构事务（款）其他政府办公厅（室）及相关机构事务支出（项）2026年预算数为19万元，主要用于：人大、纪委、关工委及青妇支出。</w:t>
      </w:r>
    </w:p>
    <w:p w14:paraId="082E0287">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5.一般公共服务（类）纪检监察事务（款）行政运行（项）2026年预算数为12.00万元，主要用于：纪检人员工资等支出。</w:t>
      </w:r>
    </w:p>
    <w:p w14:paraId="56432458">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6.文化旅游体育与传媒（类）文物（款）文物保护（项）2026年预算数为0.72万元，主要用于：文物保护员经费支出。</w:t>
      </w:r>
    </w:p>
    <w:p w14:paraId="2ECBDF96">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7.社会保障和就业（类）行政事业单位养老（款）机关事业单位基本养老保险缴费支出（项）2026年预算数为115.56万元，主要用于：人员养老保险经费支出。</w:t>
      </w:r>
    </w:p>
    <w:p w14:paraId="4DACD2BF">
      <w:pPr>
        <w:pStyle w:val="4"/>
        <w:widowControl/>
        <w:spacing w:before="0" w:beforeAutospacing="0" w:after="0" w:afterAutospacing="0" w:line="600" w:lineRule="exact"/>
        <w:ind w:firstLine="640" w:firstLineChars="200"/>
        <w:jc w:val="both"/>
        <w:outlineLvl w:val="1"/>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8.社会保障和就业（类）行政事业单位养老（款）其他行政事业单位养老支出（项）2026年预算数为63.17万元，主要用于：其他行政事业单位养老方面的支出。</w:t>
      </w:r>
    </w:p>
    <w:p w14:paraId="61177764">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9.卫生健康（类）行政事业单位医疗（款）行政单位医疗（项）2026年预算数为13.15万元，主要用于：行政人员医疗经费支出。</w:t>
      </w:r>
    </w:p>
    <w:p w14:paraId="7A3AAA02">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10.卫生健康（类）行政事业单位医疗（款）事业单位医疗（项）2026年预算数为24.78万元，主要用于：事业人员医疗经费支出。</w:t>
      </w:r>
    </w:p>
    <w:p w14:paraId="02E04238">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11.卫生健康（类）行政事业单位医疗（款）公务员医疗补助（项）2026年预算数为4.05万元，主要用于：公务员医疗补助。</w:t>
      </w:r>
    </w:p>
    <w:p w14:paraId="1EFD476A">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12.农林水（类）农业农村（款）事业运行（项）2026年预算数为505.26万元，主要用于：农业服务中心事业人员经费支出。</w:t>
      </w:r>
    </w:p>
    <w:p w14:paraId="32374A84">
      <w:pPr>
        <w:pStyle w:val="4"/>
        <w:widowControl/>
        <w:spacing w:before="0" w:beforeAutospacing="0" w:after="0" w:afterAutospacing="0" w:line="600" w:lineRule="exact"/>
        <w:ind w:firstLine="640" w:firstLineChars="200"/>
        <w:jc w:val="both"/>
        <w:outlineLvl w:val="1"/>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13.农林水（类）农村综合改革（款）对村级公益事业建设的补助（项）2026年预算数为15万元，主要用于：农村税费改革后对村级公益事业建设的补助支出。</w:t>
      </w:r>
    </w:p>
    <w:p w14:paraId="5CC184A7">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14.农林水（类）农村综合改革（款）对村民委员会和村党支部的补助（项）2026年预算数为570.46万元，主要用于：村（社区）干部补助及办公费。</w:t>
      </w:r>
    </w:p>
    <w:p w14:paraId="48977752">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15.农林水（类）农村综合改革（款）其他农林水支出（项）2026年预算数为1.01万元，主要用于：主要用于除化解债务支出以外其他农林水方面的支出。</w:t>
      </w:r>
    </w:p>
    <w:p w14:paraId="002C6FAD">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16.交通运输（类）公路水路运输（款）其他公路水路运输支出（项）2026年预算数为11.34万元，主要用于：义渡船的费用等支出。</w:t>
      </w:r>
    </w:p>
    <w:p w14:paraId="72AF91A9">
      <w:pPr>
        <w:pStyle w:val="4"/>
        <w:widowControl/>
        <w:spacing w:before="0" w:beforeAutospacing="0" w:after="0" w:afterAutospacing="0" w:line="600" w:lineRule="exact"/>
        <w:ind w:firstLine="640" w:firstLineChars="200"/>
        <w:jc w:val="both"/>
        <w:outlineLvl w:val="1"/>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17.住房保障（类）住房改革（款）住房公积金（项）2026年预算数为98.3万元，主要用于：人员公积金费用支出。</w:t>
      </w:r>
    </w:p>
    <w:p w14:paraId="524DA848">
      <w:pPr>
        <w:numPr>
          <w:ilvl w:val="0"/>
          <w:numId w:val="0"/>
        </w:numP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一般公共预算基本支出</w:t>
      </w:r>
      <w:r>
        <w:rPr>
          <w:rFonts w:hint="default" w:ascii="Times New Roman" w:hAnsi="Times New Roman" w:eastAsia="黑体" w:cs="Times New Roman"/>
          <w:color w:val="auto"/>
          <w:sz w:val="32"/>
          <w:szCs w:val="32"/>
          <w:highlight w:val="none"/>
          <w:lang w:eastAsia="zh-CN"/>
        </w:rPr>
        <w:t>情况说明</w:t>
      </w:r>
    </w:p>
    <w:p w14:paraId="2DD3EF59">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广安市前锋区观阁镇人民政府2026年一般公共预算基本支出1790.66万元，其中：</w:t>
      </w:r>
    </w:p>
    <w:p w14:paraId="321A5EB0">
      <w:pPr>
        <w:pStyle w:val="4"/>
        <w:widowControl/>
        <w:spacing w:before="0" w:beforeAutospacing="0" w:after="0" w:afterAutospacing="0" w:line="600" w:lineRule="exact"/>
        <w:ind w:firstLine="640" w:firstLineChars="200"/>
        <w:jc w:val="both"/>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人员经费1424.85万元，主要包括：基本工资314.97万元、津贴补贴73.84万元、奖金213.1万元、绩效工资120.31万元、机关事业单位基本养老保险缴费115.56万元、职工基本医疗保险缴费37.94万元、公务员医疗补助缴费4.05万元、其他社会保险缴费3.41万元、住房公积金98.30万元、生活补助438.89万元、医疗费补助3.46万元、奖励金0.01万元，其他对个人和家庭的补助1.01万元等。</w:t>
      </w:r>
    </w:p>
    <w:p w14:paraId="474EAA0C">
      <w:pPr>
        <w:pStyle w:val="4"/>
        <w:widowControl/>
        <w:spacing w:before="0" w:beforeAutospacing="0" w:after="0" w:afterAutospacing="0" w:line="600" w:lineRule="exact"/>
        <w:ind w:firstLine="640" w:firstLineChars="200"/>
        <w:jc w:val="both"/>
        <w:outlineLvl w:val="1"/>
        <w:rPr>
          <w:rFonts w:hint="default" w:ascii="Times New Roman" w:hAnsi="Times New Roman" w:eastAsia="方正仿宋_GBK" w:cs="Times New Roman"/>
          <w:color w:val="auto"/>
          <w:sz w:val="33"/>
          <w:szCs w:val="33"/>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公用经费365.81万元，主要包括：办公费113.5万元、水费4万元、电费5.5万元、邮电费4.00万元、差旅费16.66万元、维修费131.00万元、会议费8.6万元、公务接待费0.2万元、劳务费11.94万元、工会经费10.78万元、其他交通费用</w:t>
      </w:r>
      <w:r>
        <w:rPr>
          <w:rFonts w:hint="default" w:ascii="Times New Roman" w:hAnsi="Times New Roman" w:eastAsia="仿宋_GB2312" w:cs="Times New Roman"/>
          <w:color w:val="auto"/>
          <w:kern w:val="2"/>
          <w:sz w:val="32"/>
          <w:szCs w:val="32"/>
          <w:highlight w:val="none"/>
          <w:lang w:eastAsia="zh-CN" w:bidi="ar-SA"/>
        </w:rPr>
        <w:t>32.18</w:t>
      </w:r>
      <w:r>
        <w:rPr>
          <w:rFonts w:hint="eastAsia" w:ascii="Times New Roman" w:hAnsi="Times New Roman" w:eastAsia="仿宋_GB2312" w:cs="Times New Roman"/>
          <w:color w:val="auto"/>
          <w:kern w:val="2"/>
          <w:sz w:val="32"/>
          <w:szCs w:val="32"/>
          <w:highlight w:val="none"/>
          <w:lang w:val="en-US" w:eastAsia="zh-CN" w:bidi="ar-SA"/>
        </w:rPr>
        <w:t>万元、其他商品和服务支出27.45万元。</w:t>
      </w:r>
    </w:p>
    <w:p w14:paraId="41B274B4">
      <w:pP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“三公”经费财政拨款预算安排情况说明</w:t>
      </w:r>
    </w:p>
    <w:p w14:paraId="4B134D87">
      <w:pPr>
        <w:pStyle w:val="4"/>
        <w:widowControl/>
        <w:spacing w:before="0" w:beforeAutospacing="0" w:after="0" w:afterAutospacing="0" w:line="600" w:lineRule="exact"/>
        <w:ind w:firstLine="640" w:firstLineChars="200"/>
        <w:jc w:val="both"/>
        <w:outlineLvl w:val="1"/>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广安市前锋区观阁镇人民政府2026年“三公”经费财政拨款预算数0.2万元，其中：公务接待费0.2万元，公务用车购置及运行维护费0万元，因公出国（境）经费0万元。</w:t>
      </w:r>
    </w:p>
    <w:p w14:paraId="5DF20D02">
      <w:pPr>
        <w:ind w:firstLine="643"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宋体" w:hAnsi="宋体" w:eastAsia="宋体" w:cs="宋体"/>
          <w:b/>
          <w:bCs/>
          <w:i w:val="0"/>
          <w:iCs w:val="0"/>
          <w:caps w:val="0"/>
          <w:color w:val="auto"/>
          <w:spacing w:val="0"/>
          <w:sz w:val="32"/>
          <w:szCs w:val="32"/>
          <w:highlight w:val="none"/>
          <w:shd w:val="clear" w:fill="FFFFFF"/>
        </w:rPr>
        <w:t>（</w:t>
      </w:r>
      <w:r>
        <w:rPr>
          <w:rFonts w:hint="eastAsia" w:ascii="Times New Roman" w:hAnsi="Times New Roman" w:eastAsia="楷体_GB2312" w:cs="Times New Roman"/>
          <w:b/>
          <w:color w:val="auto"/>
          <w:sz w:val="32"/>
          <w:szCs w:val="32"/>
          <w:highlight w:val="none"/>
        </w:rPr>
        <w:t>一）因公出国（境）经费较</w:t>
      </w:r>
      <w:r>
        <w:rPr>
          <w:rFonts w:hint="eastAsia" w:ascii="Times New Roman" w:hAnsi="Times New Roman" w:eastAsia="楷体_GB2312" w:cs="Times New Roman"/>
          <w:b/>
          <w:color w:val="auto"/>
          <w:sz w:val="32"/>
          <w:szCs w:val="32"/>
          <w:highlight w:val="none"/>
          <w:lang w:eastAsia="zh-CN"/>
        </w:rPr>
        <w:t>202</w:t>
      </w:r>
      <w:r>
        <w:rPr>
          <w:rFonts w:hint="eastAsia" w:ascii="Times New Roman" w:hAnsi="Times New Roman" w:eastAsia="楷体_GB2312" w:cs="Times New Roman"/>
          <w:b/>
          <w:color w:val="auto"/>
          <w:sz w:val="32"/>
          <w:szCs w:val="32"/>
          <w:highlight w:val="none"/>
          <w:lang w:val="en-US" w:eastAsia="zh-CN"/>
        </w:rPr>
        <w:t>5</w:t>
      </w:r>
      <w:r>
        <w:rPr>
          <w:rFonts w:hint="eastAsia" w:ascii="Times New Roman" w:hAnsi="Times New Roman" w:eastAsia="楷体_GB2312" w:cs="Times New Roman"/>
          <w:b/>
          <w:color w:val="auto"/>
          <w:sz w:val="32"/>
          <w:szCs w:val="32"/>
          <w:highlight w:val="none"/>
        </w:rPr>
        <w:t>年预算</w:t>
      </w:r>
      <w:r>
        <w:rPr>
          <w:rFonts w:hint="eastAsia" w:ascii="Times New Roman" w:hAnsi="Times New Roman" w:eastAsia="楷体_GB2312" w:cs="Times New Roman"/>
          <w:b/>
          <w:color w:val="auto"/>
          <w:sz w:val="32"/>
          <w:szCs w:val="32"/>
          <w:highlight w:val="none"/>
          <w:lang w:val="en-US" w:eastAsia="zh-CN"/>
        </w:rPr>
        <w:t>持平</w:t>
      </w:r>
      <w:r>
        <w:rPr>
          <w:rFonts w:hint="eastAsia" w:ascii="宋体" w:hAnsi="宋体" w:eastAsia="宋体" w:cs="宋体"/>
          <w:color w:val="auto"/>
          <w:kern w:val="0"/>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SA"/>
        </w:rPr>
        <w:t>主要原因是两年都没有这方面的支出。</w:t>
      </w:r>
    </w:p>
    <w:p w14:paraId="79B8D973">
      <w:pPr>
        <w:ind w:firstLine="643"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b/>
          <w:color w:val="auto"/>
          <w:sz w:val="32"/>
          <w:szCs w:val="32"/>
          <w:highlight w:val="none"/>
        </w:rPr>
        <w:t>（二）公务接待费较</w:t>
      </w:r>
      <w:r>
        <w:rPr>
          <w:rFonts w:hint="eastAsia" w:ascii="Times New Roman" w:hAnsi="Times New Roman" w:eastAsia="楷体_GB2312" w:cs="Times New Roman"/>
          <w:b/>
          <w:color w:val="auto"/>
          <w:sz w:val="32"/>
          <w:szCs w:val="32"/>
          <w:highlight w:val="none"/>
          <w:lang w:eastAsia="zh-CN"/>
        </w:rPr>
        <w:t>202</w:t>
      </w:r>
      <w:r>
        <w:rPr>
          <w:rFonts w:hint="eastAsia" w:ascii="Times New Roman" w:hAnsi="Times New Roman" w:eastAsia="楷体_GB2312" w:cs="Times New Roman"/>
          <w:b/>
          <w:color w:val="auto"/>
          <w:sz w:val="32"/>
          <w:szCs w:val="32"/>
          <w:highlight w:val="none"/>
          <w:lang w:val="en-US" w:eastAsia="zh-CN"/>
        </w:rPr>
        <w:t>5</w:t>
      </w:r>
      <w:r>
        <w:rPr>
          <w:rFonts w:hint="eastAsia" w:ascii="Times New Roman" w:hAnsi="Times New Roman" w:eastAsia="楷体_GB2312" w:cs="Times New Roman"/>
          <w:b/>
          <w:color w:val="auto"/>
          <w:sz w:val="32"/>
          <w:szCs w:val="32"/>
          <w:highlight w:val="none"/>
        </w:rPr>
        <w:t>年预算下降</w:t>
      </w:r>
      <w:r>
        <w:rPr>
          <w:rFonts w:hint="eastAsia" w:ascii="Times New Roman" w:hAnsi="Times New Roman" w:eastAsia="楷体_GB2312" w:cs="Times New Roman"/>
          <w:b/>
          <w:color w:val="auto"/>
          <w:sz w:val="32"/>
          <w:szCs w:val="32"/>
          <w:highlight w:val="none"/>
          <w:lang w:val="en-US" w:eastAsia="zh-CN"/>
        </w:rPr>
        <w:t>89.69</w:t>
      </w:r>
      <w:r>
        <w:rPr>
          <w:rFonts w:hint="eastAsia" w:ascii="Times New Roman" w:hAnsi="Times New Roman" w:eastAsia="楷体_GB2312" w:cs="Times New Roman"/>
          <w:b/>
          <w:color w:val="auto"/>
          <w:sz w:val="32"/>
          <w:szCs w:val="32"/>
          <w:highlight w:val="none"/>
        </w:rPr>
        <w:t>%，</w:t>
      </w:r>
      <w:r>
        <w:rPr>
          <w:rFonts w:hint="eastAsia" w:ascii="Times New Roman" w:hAnsi="Times New Roman" w:eastAsia="仿宋_GB2312" w:cs="Times New Roman"/>
          <w:color w:val="auto"/>
          <w:kern w:val="2"/>
          <w:sz w:val="32"/>
          <w:szCs w:val="32"/>
          <w:highlight w:val="none"/>
          <w:lang w:val="en-US" w:eastAsia="zh-CN" w:bidi="ar-SA"/>
        </w:rPr>
        <w:t>主要原因是公务接待减少，单位厉行节约，严格控制接待费支出。</w:t>
      </w:r>
    </w:p>
    <w:p w14:paraId="6EDA8D9B">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2026年公务接待费计划用于执行公务、考察调研、检查指导等公务活动开支的交通费、住宿费、用餐费等。</w:t>
      </w:r>
    </w:p>
    <w:p w14:paraId="3EED9960">
      <w:pPr>
        <w:ind w:firstLine="643"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sz w:val="32"/>
          <w:szCs w:val="32"/>
          <w:highlight w:val="none"/>
        </w:rPr>
        <w:t>（</w:t>
      </w:r>
      <w:r>
        <w:rPr>
          <w:rFonts w:hint="default" w:ascii="Times New Roman" w:hAnsi="Times New Roman" w:eastAsia="楷体_GB2312" w:cs="Times New Roman"/>
          <w:b/>
          <w:color w:val="auto"/>
          <w:sz w:val="32"/>
          <w:szCs w:val="32"/>
          <w:highlight w:val="none"/>
          <w:lang w:eastAsia="zh-CN"/>
        </w:rPr>
        <w:t>三</w:t>
      </w:r>
      <w:r>
        <w:rPr>
          <w:rFonts w:hint="default" w:ascii="Times New Roman" w:hAnsi="Times New Roman" w:eastAsia="楷体_GB2312" w:cs="Times New Roman"/>
          <w:b/>
          <w:color w:val="auto"/>
          <w:sz w:val="32"/>
          <w:szCs w:val="32"/>
          <w:highlight w:val="none"/>
        </w:rPr>
        <w:t>）公务用车购置及运行维护费较</w:t>
      </w:r>
      <w:r>
        <w:rPr>
          <w:rFonts w:hint="eastAsia" w:ascii="Times New Roman" w:hAnsi="Times New Roman" w:eastAsia="楷体_GB2312" w:cs="Times New Roman"/>
          <w:b/>
          <w:color w:val="auto"/>
          <w:sz w:val="32"/>
          <w:szCs w:val="32"/>
          <w:highlight w:val="none"/>
          <w:lang w:eastAsia="zh-CN"/>
        </w:rPr>
        <w:t>202</w:t>
      </w:r>
      <w:r>
        <w:rPr>
          <w:rFonts w:hint="eastAsia" w:ascii="Times New Roman" w:hAnsi="Times New Roman" w:eastAsia="楷体_GB2312" w:cs="Times New Roman"/>
          <w:b/>
          <w:color w:val="auto"/>
          <w:sz w:val="32"/>
          <w:szCs w:val="32"/>
          <w:highlight w:val="none"/>
          <w:lang w:val="en-US" w:eastAsia="zh-CN"/>
        </w:rPr>
        <w:t>5</w:t>
      </w:r>
      <w:r>
        <w:rPr>
          <w:rFonts w:hint="default" w:ascii="Times New Roman" w:hAnsi="Times New Roman" w:eastAsia="楷体_GB2312" w:cs="Times New Roman"/>
          <w:b/>
          <w:color w:val="auto"/>
          <w:sz w:val="32"/>
          <w:szCs w:val="32"/>
          <w:highlight w:val="none"/>
          <w:lang w:eastAsia="zh-CN"/>
        </w:rPr>
        <w:t>年</w:t>
      </w:r>
      <w:r>
        <w:rPr>
          <w:rFonts w:hint="default" w:ascii="Times New Roman" w:hAnsi="Times New Roman" w:eastAsia="楷体_GB2312" w:cs="Times New Roman"/>
          <w:b/>
          <w:color w:val="auto"/>
          <w:sz w:val="32"/>
          <w:szCs w:val="32"/>
          <w:highlight w:val="none"/>
        </w:rPr>
        <w:t>预算</w:t>
      </w:r>
      <w:r>
        <w:rPr>
          <w:rFonts w:hint="eastAsia" w:ascii="Times New Roman" w:hAnsi="Times New Roman" w:eastAsia="楷体_GB2312" w:cs="Times New Roman"/>
          <w:b/>
          <w:color w:val="auto"/>
          <w:sz w:val="32"/>
          <w:szCs w:val="32"/>
          <w:highlight w:val="none"/>
          <w:lang w:val="en-US" w:eastAsia="zh-CN"/>
        </w:rPr>
        <w:t>持平</w:t>
      </w:r>
      <w:r>
        <w:rPr>
          <w:rFonts w:hint="default" w:ascii="Times New Roman" w:hAnsi="Times New Roman" w:eastAsia="楷体_GB2312" w:cs="Times New Roman"/>
          <w:b/>
          <w:color w:val="auto"/>
          <w:sz w:val="32"/>
          <w:szCs w:val="32"/>
          <w:highlight w:val="none"/>
        </w:rPr>
        <w:t>。</w:t>
      </w:r>
      <w:r>
        <w:rPr>
          <w:rFonts w:hint="default" w:ascii="Times New Roman" w:hAnsi="Times New Roman" w:eastAsia="仿宋_GB2312" w:cs="Times New Roman"/>
          <w:color w:val="auto"/>
          <w:kern w:val="2"/>
          <w:sz w:val="32"/>
          <w:szCs w:val="32"/>
          <w:highlight w:val="none"/>
          <w:lang w:val="en-US" w:eastAsia="zh-CN" w:bidi="ar-SA"/>
        </w:rPr>
        <w:t>主要原因是</w:t>
      </w:r>
      <w:r>
        <w:rPr>
          <w:rFonts w:hint="eastAsia" w:ascii="Times New Roman" w:hAnsi="Times New Roman" w:eastAsia="仿宋_GB2312" w:cs="Times New Roman"/>
          <w:color w:val="auto"/>
          <w:kern w:val="2"/>
          <w:sz w:val="32"/>
          <w:szCs w:val="32"/>
          <w:highlight w:val="none"/>
          <w:lang w:val="en-US" w:eastAsia="zh-CN" w:bidi="ar-SA"/>
        </w:rPr>
        <w:t>没有这方面的支出</w:t>
      </w:r>
      <w:r>
        <w:rPr>
          <w:rFonts w:hint="default" w:ascii="Times New Roman" w:hAnsi="Times New Roman" w:eastAsia="仿宋_GB2312" w:cs="Times New Roman"/>
          <w:color w:val="auto"/>
          <w:kern w:val="2"/>
          <w:sz w:val="32"/>
          <w:szCs w:val="32"/>
          <w:highlight w:val="none"/>
          <w:lang w:val="en-US" w:eastAsia="zh-CN" w:bidi="ar-SA"/>
        </w:rPr>
        <w:t>。</w:t>
      </w:r>
    </w:p>
    <w:p w14:paraId="66C6243D">
      <w:p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单位现有公务用车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辆，其中：轿车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辆，旅行车（含商务车）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辆，越野车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辆，大型客、货车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w:t>
      </w:r>
    </w:p>
    <w:p w14:paraId="69D4C80D">
      <w:p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2026</w:t>
      </w:r>
      <w:r>
        <w:rPr>
          <w:rFonts w:hint="default" w:ascii="Times New Roman" w:hAnsi="Times New Roman" w:eastAsia="仿宋_GB2312" w:cs="Times New Roman"/>
          <w:color w:val="auto"/>
          <w:kern w:val="2"/>
          <w:sz w:val="32"/>
          <w:szCs w:val="32"/>
          <w:highlight w:val="none"/>
          <w:lang w:val="en-US" w:eastAsia="zh-CN" w:bidi="ar-SA"/>
        </w:rPr>
        <w:t>年安排公务用车购置费</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万元，拟购置公务用车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辆，其中：轿车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辆，旅行车（含商务车）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辆，越野车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辆，大型客、货车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w:t>
      </w:r>
    </w:p>
    <w:p w14:paraId="54198196">
      <w:p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2026</w:t>
      </w:r>
      <w:r>
        <w:rPr>
          <w:rFonts w:hint="default" w:ascii="Times New Roman" w:hAnsi="Times New Roman" w:eastAsia="仿宋_GB2312" w:cs="Times New Roman"/>
          <w:color w:val="auto"/>
          <w:kern w:val="2"/>
          <w:sz w:val="32"/>
          <w:szCs w:val="32"/>
          <w:highlight w:val="none"/>
          <w:lang w:val="en-US" w:eastAsia="zh-CN" w:bidi="ar-SA"/>
        </w:rPr>
        <w:t>年安排公务用车运行维护费</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万元，用于</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辆公务用车燃油、维修、保险等方面支出，主要保障</w:t>
      </w:r>
      <w:r>
        <w:rPr>
          <w:rFonts w:hint="eastAsia" w:ascii="Times New Roman" w:hAnsi="Times New Roman" w:eastAsia="仿宋_GB2312" w:cs="Times New Roman"/>
          <w:color w:val="auto"/>
          <w:kern w:val="2"/>
          <w:sz w:val="32"/>
          <w:szCs w:val="32"/>
          <w:highlight w:val="none"/>
          <w:lang w:val="en-US" w:eastAsia="zh-CN" w:bidi="ar-SA"/>
        </w:rPr>
        <w:t>日常</w:t>
      </w:r>
      <w:r>
        <w:rPr>
          <w:rFonts w:hint="default" w:ascii="Times New Roman" w:hAnsi="Times New Roman" w:eastAsia="仿宋_GB2312" w:cs="Times New Roman"/>
          <w:color w:val="auto"/>
          <w:kern w:val="2"/>
          <w:sz w:val="32"/>
          <w:szCs w:val="32"/>
          <w:highlight w:val="none"/>
          <w:lang w:val="en-US" w:eastAsia="zh-CN" w:bidi="ar-SA"/>
        </w:rPr>
        <w:t>工作开展。</w:t>
      </w:r>
    </w:p>
    <w:p w14:paraId="35C411D6">
      <w:pP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政府性基金预算支出</w:t>
      </w:r>
      <w:r>
        <w:rPr>
          <w:rFonts w:hint="default" w:ascii="Times New Roman" w:hAnsi="Times New Roman" w:eastAsia="黑体" w:cs="Times New Roman"/>
          <w:color w:val="auto"/>
          <w:sz w:val="32"/>
          <w:szCs w:val="32"/>
          <w:highlight w:val="none"/>
          <w:lang w:eastAsia="zh-CN"/>
        </w:rPr>
        <w:t>情况说明</w:t>
      </w:r>
    </w:p>
    <w:p w14:paraId="4EF14D22">
      <w:p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广安市前锋区观阁镇人民政府2026</w:t>
      </w:r>
      <w:r>
        <w:rPr>
          <w:rFonts w:hint="default" w:ascii="Times New Roman" w:hAnsi="Times New Roman" w:eastAsia="仿宋_GB2312" w:cs="Times New Roman"/>
          <w:color w:val="auto"/>
          <w:kern w:val="2"/>
          <w:sz w:val="32"/>
          <w:szCs w:val="32"/>
          <w:highlight w:val="none"/>
          <w:lang w:val="en-US" w:eastAsia="zh-CN" w:bidi="ar-SA"/>
        </w:rPr>
        <w:t>年没有使用政府性基金预算拨款安排的支出。</w:t>
      </w:r>
    </w:p>
    <w:p w14:paraId="4D67CC82">
      <w:pP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、国有资本经营预算</w:t>
      </w:r>
      <w:r>
        <w:rPr>
          <w:rFonts w:hint="default" w:ascii="Times New Roman" w:hAnsi="Times New Roman" w:eastAsia="黑体" w:cs="Times New Roman"/>
          <w:color w:val="auto"/>
          <w:sz w:val="32"/>
          <w:szCs w:val="32"/>
          <w:highlight w:val="none"/>
          <w:lang w:eastAsia="zh-CN"/>
        </w:rPr>
        <w:t>情况说明</w:t>
      </w:r>
    </w:p>
    <w:p w14:paraId="3595EB57">
      <w:p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广安市前锋区观阁镇人民政府2026年没有使用国有资本经营预算拨款安排的支出。</w:t>
      </w:r>
    </w:p>
    <w:p w14:paraId="38EF28E5">
      <w:pP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其他重要事项的情况说明</w:t>
      </w:r>
    </w:p>
    <w:p w14:paraId="20F8681D">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lang w:eastAsia="zh-CN"/>
        </w:rPr>
      </w:pPr>
      <w:r>
        <w:rPr>
          <w:rFonts w:hint="default" w:ascii="Times New Roman" w:hAnsi="Times New Roman" w:eastAsia="楷体_GB2312" w:cs="Times New Roman"/>
          <w:b/>
          <w:color w:val="auto"/>
          <w:sz w:val="32"/>
          <w:szCs w:val="32"/>
          <w:highlight w:val="none"/>
        </w:rPr>
        <w:t>（一）机关运行经费</w:t>
      </w:r>
      <w:r>
        <w:rPr>
          <w:rFonts w:hint="default" w:ascii="Times New Roman" w:hAnsi="Times New Roman" w:eastAsia="楷体_GB2312" w:cs="Times New Roman"/>
          <w:b/>
          <w:color w:val="auto"/>
          <w:sz w:val="32"/>
          <w:szCs w:val="32"/>
          <w:highlight w:val="none"/>
          <w:lang w:eastAsia="zh-CN"/>
        </w:rPr>
        <w:t>情况</w:t>
      </w:r>
    </w:p>
    <w:p w14:paraId="68A29836">
      <w:p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2026年，广安市前锋区观阁镇人民政府机关运行经费财政拨款预算为351.89万元，比2024年预算增加67.67万元，上升23.81%，主要原因是人员增加，经费相应增加。</w:t>
      </w:r>
    </w:p>
    <w:p w14:paraId="0628DB07">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（二）政府采购情况</w:t>
      </w:r>
    </w:p>
    <w:p w14:paraId="018B8D62">
      <w:p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广安市前锋区观阁镇人民政府2026</w:t>
      </w:r>
      <w:r>
        <w:rPr>
          <w:rFonts w:hint="default" w:ascii="Times New Roman" w:hAnsi="Times New Roman" w:eastAsia="仿宋_GB2312" w:cs="Times New Roman"/>
          <w:color w:val="auto"/>
          <w:kern w:val="2"/>
          <w:sz w:val="32"/>
          <w:szCs w:val="32"/>
          <w:highlight w:val="none"/>
          <w:lang w:val="en-US" w:eastAsia="zh-CN" w:bidi="ar-SA"/>
        </w:rPr>
        <w:t>年无政府采购项目，未安排政府采购预算。</w:t>
      </w:r>
    </w:p>
    <w:p w14:paraId="5BEF75F4">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（三）国有资产占有使用情况</w:t>
      </w:r>
    </w:p>
    <w:p w14:paraId="7FB528DF">
      <w:p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w:t>
      </w:r>
      <w:r>
        <w:rPr>
          <w:rFonts w:hint="eastAsia" w:ascii="Times New Roman" w:hAnsi="Times New Roman" w:eastAsia="仿宋_GB2312" w:cs="Times New Roman"/>
          <w:color w:val="auto"/>
          <w:kern w:val="2"/>
          <w:sz w:val="32"/>
          <w:szCs w:val="32"/>
          <w:highlight w:val="none"/>
          <w:lang w:val="en-US" w:eastAsia="zh-CN" w:bidi="ar-SA"/>
        </w:rPr>
        <w:t>2026</w:t>
      </w:r>
      <w:r>
        <w:rPr>
          <w:rFonts w:hint="default" w:ascii="Times New Roman" w:hAnsi="Times New Roman" w:eastAsia="仿宋_GB2312" w:cs="Times New Roman"/>
          <w:color w:val="auto"/>
          <w:kern w:val="2"/>
          <w:sz w:val="32"/>
          <w:szCs w:val="32"/>
          <w:highlight w:val="none"/>
          <w:lang w:val="en-US" w:eastAsia="zh-CN" w:bidi="ar-SA"/>
        </w:rPr>
        <w:t>年底，</w:t>
      </w:r>
      <w:r>
        <w:rPr>
          <w:rFonts w:hint="eastAsia" w:ascii="Times New Roman" w:hAnsi="Times New Roman" w:eastAsia="仿宋_GB2312" w:cs="Times New Roman"/>
          <w:color w:val="auto"/>
          <w:kern w:val="2"/>
          <w:sz w:val="32"/>
          <w:szCs w:val="32"/>
          <w:highlight w:val="none"/>
          <w:lang w:val="en-US" w:eastAsia="zh-CN" w:bidi="ar-SA"/>
        </w:rPr>
        <w:t>广安市前锋区观阁镇人民政府</w:t>
      </w:r>
      <w:r>
        <w:rPr>
          <w:rFonts w:hint="default" w:ascii="Times New Roman" w:hAnsi="Times New Roman" w:eastAsia="仿宋_GB2312" w:cs="Times New Roman"/>
          <w:color w:val="auto"/>
          <w:kern w:val="2"/>
          <w:sz w:val="32"/>
          <w:szCs w:val="32"/>
          <w:highlight w:val="none"/>
          <w:lang w:val="en-US" w:eastAsia="zh-CN" w:bidi="ar-SA"/>
        </w:rPr>
        <w:t>所属各预算单位共有车辆</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辆，其中，定向保障用车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辆、执法执勤用车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辆。单位价值200万元以上大型设备</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台（套）。</w:t>
      </w:r>
    </w:p>
    <w:p w14:paraId="5DF0A0A5">
      <w:p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2026</w:t>
      </w:r>
      <w:r>
        <w:rPr>
          <w:rFonts w:hint="default" w:ascii="Times New Roman" w:hAnsi="Times New Roman" w:eastAsia="仿宋_GB2312" w:cs="Times New Roman"/>
          <w:color w:val="auto"/>
          <w:kern w:val="2"/>
          <w:sz w:val="32"/>
          <w:szCs w:val="32"/>
          <w:highlight w:val="none"/>
          <w:lang w:val="en-US" w:eastAsia="zh-CN" w:bidi="ar-SA"/>
        </w:rPr>
        <w:t>年部门预算未安排购置车辆及单位价值200万元以上大型设备。</w:t>
      </w:r>
    </w:p>
    <w:p w14:paraId="00821F65">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lang w:eastAsia="zh-CN"/>
        </w:rPr>
      </w:pPr>
      <w:r>
        <w:rPr>
          <w:rFonts w:hint="default" w:ascii="Times New Roman" w:hAnsi="Times New Roman" w:eastAsia="楷体_GB2312" w:cs="Times New Roman"/>
          <w:b/>
          <w:color w:val="auto"/>
          <w:sz w:val="32"/>
          <w:szCs w:val="32"/>
          <w:highlight w:val="none"/>
        </w:rPr>
        <w:t>（四）</w:t>
      </w:r>
      <w:r>
        <w:rPr>
          <w:rFonts w:hint="default" w:ascii="Times New Roman" w:hAnsi="Times New Roman" w:eastAsia="楷体_GB2312" w:cs="Times New Roman"/>
          <w:b/>
          <w:color w:val="auto"/>
          <w:sz w:val="32"/>
          <w:szCs w:val="32"/>
          <w:highlight w:val="none"/>
          <w:lang w:eastAsia="zh-CN"/>
        </w:rPr>
        <w:t>预算绩效情况</w:t>
      </w:r>
    </w:p>
    <w:p w14:paraId="03B9BA0B">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2026年广安市前锋区观阁镇人民政府部门整体绩效管理的项目42个，涉及预算1790.66万元。其中：人员类项目28个，涉及预算1424.85万元；运转类项目14个，涉及预算365.81万元。</w:t>
      </w:r>
    </w:p>
    <w:p w14:paraId="2968A4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19C125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E93CB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A98FB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CBBAD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35C69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0D1CB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D6596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771BD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0EB10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6B77072">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5F09B39">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84EF1A8">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6F2334E">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54F1B9B">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DB1B63F">
      <w:pPr>
        <w:pStyle w:val="2"/>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77BA7E2">
      <w:pPr>
        <w:rPr>
          <w:rFonts w:hint="eastAsia"/>
          <w:color w:val="auto"/>
          <w:highlight w:val="none"/>
          <w:lang w:val="en-US" w:eastAsia="zh-CN"/>
        </w:rPr>
      </w:pPr>
    </w:p>
    <w:p w14:paraId="01798E01">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9774D7A">
      <w:pPr>
        <w:pStyle w:val="2"/>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0A34464">
      <w:pPr>
        <w:rPr>
          <w:rFonts w:hint="eastAsia"/>
          <w:color w:val="auto"/>
          <w:highlight w:val="none"/>
          <w:lang w:val="en-US" w:eastAsia="zh-CN"/>
        </w:rPr>
      </w:pPr>
    </w:p>
    <w:p w14:paraId="28521BBC">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A844257">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14:paraId="00A4F230">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14:paraId="444AD54D">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1.一般公共预算财政拨款收入：指区级财政当年拨付的公共预算资金。</w:t>
      </w:r>
    </w:p>
    <w:p w14:paraId="4791B238">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2.上年结转：指以前年度尚未完成，结转到本年仍按原规定用途继续使用的资金。</w:t>
      </w:r>
    </w:p>
    <w:p w14:paraId="09476951">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3.基本支出：指为保证机构正常运转，完成日常工作任务而发生的人员支出和公用支出。</w:t>
      </w:r>
    </w:p>
    <w:p w14:paraId="135E848F">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4.项目支出：指在基本支出之外为完成特定行政任务和事业发展目标所发生的支出。</w:t>
      </w:r>
    </w:p>
    <w:p w14:paraId="680FF2C6">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97D7A4">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6.机关运行经费：为保障行政单位（包含参照公务员法管理的事业单位）运行用于购买货物和服务的各项资金。包括办公及印刷费、邮电费、差旅费、会议费、一般设备购置费等费用开支。</w:t>
      </w:r>
    </w:p>
    <w:p w14:paraId="759A025C">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7.一般公共服务（类）人大事务（款）代表工作（项）：镇人大代表活动费用。</w:t>
      </w:r>
    </w:p>
    <w:p w14:paraId="693CDA30">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8.一般公共服务（类）政府办公厅（室）及相关机构事务（款）行政运行（项）：指用于保障机构正常运行、开展日常工作的基本支出。</w:t>
      </w:r>
    </w:p>
    <w:p w14:paraId="6E84553B">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9.一般公共服务（类）政府办公厅（室）及相关机构事务（款）一般行政管理事务（项）：反映行政单位未单独设置项级科目的其他项目支出。</w:t>
      </w:r>
    </w:p>
    <w:p w14:paraId="7C414481">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10.一般公共服务（类）政府办公厅（室）及相关机构事务（款）事业运行（项）：反映事业单位的基本支出。</w:t>
      </w:r>
    </w:p>
    <w:p w14:paraId="3764334A">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11.一般公共服务（类）政府办公厅（室）及相关机构事务（款）其他政府办公厅（室）及相关机构事务支出（项）：反映已有项级科目以外的其他政府办公厅（室）及相关机构事务支出。</w:t>
      </w:r>
    </w:p>
    <w:p w14:paraId="57568D12">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12.一般公共服务（类）纪检监察事务（款）行政运行（项）：反映纪检方面的支出。</w:t>
      </w:r>
    </w:p>
    <w:p w14:paraId="5C638092">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13.文化旅游体育与传媒（类）文物（款）文物保护（项）：指用于文物保护方面的基本支出。</w:t>
      </w:r>
    </w:p>
    <w:p w14:paraId="4893B8FA">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14.社会保障和就业（类）行政事业单位养老支出（款）机关事业单位基本养老保险缴费支出（项）：反映机关事业单位实施养老保险制度由单位缴纳的基本养老保险费支出。</w:t>
      </w:r>
    </w:p>
    <w:p w14:paraId="361C625F">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15.卫生健康（类）行政事业单位医疗（款）行政单位医疗（项）：指单位按照规定缴纳行政人员的基本医疗保险费的资金。</w:t>
      </w:r>
    </w:p>
    <w:p w14:paraId="06A7B9D4">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16.卫生健康（类）行政事业单位医疗（款）事业单位医疗（项）：指单位按照规定缴纳事业编人员基本医疗保险费的资金。</w:t>
      </w:r>
    </w:p>
    <w:p w14:paraId="6ECEA8C4">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17.卫生健康（类）行政事业单位医疗（款）公务员医疗补助（项）：指单位按照规定缴纳公务员医疗补助的资金。</w:t>
      </w:r>
    </w:p>
    <w:p w14:paraId="724563E4">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18.农林水（类）农业农村（款）事业运行（项）：反映用于农业事业单位基本支出，事业单位设施、系统运行与资产维护等方面的支出。</w:t>
      </w:r>
    </w:p>
    <w:p w14:paraId="27CEF09A">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19.农林水（类）农村综合改革（款）对村民委员会和村党支部的补助（项）：指对村民委员会和村党支部的补助支出。</w:t>
      </w:r>
    </w:p>
    <w:p w14:paraId="7D94CD1C">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20.农林水（类）农村综合改革（款）对村级公益事业建设的补助：农村公共服务运行维护和社区服务群众专项经费。</w:t>
      </w:r>
    </w:p>
    <w:p w14:paraId="50E414A7">
      <w:pPr>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21.交通运输（类）公路水路运输（款）其他公路水路运输支出（项）：义渡船的费用等支出。</w:t>
      </w:r>
    </w:p>
    <w:p w14:paraId="402DE70B">
      <w:pPr>
        <w:ind w:firstLine="640" w:firstLineChars="200"/>
        <w:rPr>
          <w:rFonts w:hint="eastAsia" w:ascii="Times New Roman" w:hAnsi="Times New Roman" w:eastAsia="方正仿宋_GBK" w:cs="Times New Roman"/>
          <w:color w:val="auto"/>
          <w:kern w:val="0"/>
          <w:sz w:val="33"/>
          <w:szCs w:val="33"/>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SA"/>
        </w:rPr>
        <w:t>22.住房保障（类）住房改革（款）住房公积金（项）：反映行政事业单位按人力资源和社会保障部、财政部规定的基本工资和津贴补贴以及规定比例为职工缴纳的住房公积金。</w:t>
      </w:r>
    </w:p>
    <w:p w14:paraId="219F01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CB32A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C036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1FE58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E5B08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3FA23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83129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03672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1FF4E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4AD3807">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广安市前锋区观阁镇</w:t>
      </w:r>
    </w:p>
    <w:p w14:paraId="53679F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rightChars="0" w:firstLine="520" w:firstLineChars="100"/>
        <w:jc w:val="both"/>
        <w:textAlignment w:val="auto"/>
        <w:outlineLvl w:val="0"/>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人民政府2026年部门预算表</w:t>
      </w:r>
    </w:p>
    <w:p w14:paraId="63C4D02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auto"/>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452651CC">
      <w:pPr>
        <w:spacing w:line="600" w:lineRule="exact"/>
        <w:ind w:firstLine="643" w:firstLineChars="200"/>
        <w:rPr>
          <w:rFonts w:hint="eastAsia" w:ascii="Times New Roman" w:hAnsi="Times New Roman" w:eastAsia="楷体" w:cs="Times New Roman"/>
          <w:b/>
          <w:color w:val="auto"/>
          <w:sz w:val="32"/>
          <w:szCs w:val="32"/>
          <w:highlight w:val="none"/>
          <w:lang w:eastAsia="zh-CN"/>
        </w:rPr>
      </w:pPr>
    </w:p>
    <w:p w14:paraId="2CC8B438">
      <w:pPr>
        <w:spacing w:line="600" w:lineRule="exact"/>
        <w:rPr>
          <w:rFonts w:hint="default" w:ascii="Times New Roman" w:hAnsi="Times New Roman" w:eastAsia="仿宋_GB2312" w:cs="Times New Roman"/>
          <w:color w:val="auto"/>
          <w:sz w:val="32"/>
          <w:szCs w:val="32"/>
          <w:highlight w:val="none"/>
        </w:rPr>
      </w:pPr>
    </w:p>
    <w:p w14:paraId="1227119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rPr>
        <w:t>表1 部门收支总表</w:t>
      </w:r>
    </w:p>
    <w:p w14:paraId="5AF1D63B">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表1-1 部门收入总表</w:t>
      </w:r>
    </w:p>
    <w:p w14:paraId="56F9DECA">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表1-2 部门支出总表</w:t>
      </w:r>
    </w:p>
    <w:p w14:paraId="6B39B985">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表2 财政拨款收支</w:t>
      </w:r>
      <w:r>
        <w:rPr>
          <w:rFonts w:hint="eastAsia"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总表</w:t>
      </w:r>
    </w:p>
    <w:p w14:paraId="39B4179A">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表2-1财政拨款支出预算表（</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经济分类科目）</w:t>
      </w:r>
    </w:p>
    <w:p w14:paraId="12DF5AE1">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表3 一般公共预算支出预算表</w:t>
      </w:r>
    </w:p>
    <w:p w14:paraId="5CD80F73">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表3-1 一般公共预算基本支出预算表</w:t>
      </w:r>
    </w:p>
    <w:p w14:paraId="44146479">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表3-2一般公共预算项目支出预算表</w:t>
      </w:r>
    </w:p>
    <w:p w14:paraId="2D278A86">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表3-3 一般公共预算“三公”经费支出</w:t>
      </w:r>
      <w:r>
        <w:rPr>
          <w:rFonts w:hint="default"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表</w:t>
      </w:r>
    </w:p>
    <w:p w14:paraId="0154E7C9">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表4 政府性基金</w:t>
      </w:r>
      <w:r>
        <w:rPr>
          <w:rFonts w:hint="eastAsia"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支出预算表</w:t>
      </w:r>
    </w:p>
    <w:p w14:paraId="49C36DA3">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表4-1 政府性基金预算“三公”经费支出预算表</w:t>
      </w:r>
    </w:p>
    <w:p w14:paraId="1D3D889D">
      <w:pPr>
        <w:spacing w:line="600" w:lineRule="exact"/>
        <w:ind w:firstLine="1600" w:firstLineChars="5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表5 国有资本经营预算支出预算表</w:t>
      </w:r>
    </w:p>
    <w:p w14:paraId="2BE7FCB5">
      <w:pPr>
        <w:spacing w:line="600" w:lineRule="exact"/>
        <w:ind w:firstLine="1600" w:firstLineChars="5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表6 部门预算项目绩效目标</w:t>
      </w:r>
      <w:r>
        <w:rPr>
          <w:rFonts w:hint="default" w:ascii="Times New Roman" w:hAnsi="Times New Roman" w:eastAsia="仿宋_GB2312" w:cs="Times New Roman"/>
          <w:color w:val="auto"/>
          <w:sz w:val="32"/>
          <w:szCs w:val="32"/>
          <w:highlight w:val="none"/>
          <w:lang w:eastAsia="zh-CN"/>
        </w:rPr>
        <w:t>表</w:t>
      </w:r>
    </w:p>
    <w:p w14:paraId="26D326B0">
      <w:pPr>
        <w:spacing w:line="600" w:lineRule="exact"/>
        <w:ind w:firstLine="1600" w:firstLineChars="5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lang w:eastAsia="zh-CN"/>
        </w:rPr>
        <w:t>表</w:t>
      </w:r>
      <w:r>
        <w:rPr>
          <w:rFonts w:hint="default" w:ascii="Times New Roman" w:hAnsi="Times New Roman" w:eastAsia="仿宋_GB2312" w:cs="Times New Roman"/>
          <w:color w:val="auto"/>
          <w:sz w:val="32"/>
          <w:szCs w:val="32"/>
          <w:highlight w:val="none"/>
          <w:lang w:val="en-US" w:eastAsia="zh-CN"/>
        </w:rPr>
        <w:t>7 部门整体支出绩效目标表</w:t>
      </w:r>
    </w:p>
    <w:bookmarkEnd w:id="3"/>
    <w:p w14:paraId="36F900D9">
      <w:pPr>
        <w:spacing w:line="600" w:lineRule="exact"/>
        <w:ind w:firstLine="562" w:firstLineChars="200"/>
        <w:rPr>
          <w:rFonts w:hint="default" w:ascii="Times New Roman" w:hAnsi="Times New Roman" w:eastAsia="楷体" w:cs="Times New Roman"/>
          <w:b/>
          <w:color w:val="auto"/>
          <w:sz w:val="28"/>
          <w:szCs w:val="32"/>
          <w:highlight w:val="none"/>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7F25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23E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CF5E">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DAAC">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7C9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F0F7F">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38F0F7F">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C6B15B"/>
    <w:multiLevelType w:val="singleLevel"/>
    <w:tmpl w:val="65C6B15B"/>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ZTc0NjI3ZGVjNjcyZDlmODZmZmQ3ZmIxMzA0NjI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80370"/>
    <w:rsid w:val="00EA0D9C"/>
    <w:rsid w:val="00EF01A4"/>
    <w:rsid w:val="00EF1F05"/>
    <w:rsid w:val="00EF4AF1"/>
    <w:rsid w:val="00F02918"/>
    <w:rsid w:val="00F25276"/>
    <w:rsid w:val="00F4266C"/>
    <w:rsid w:val="00F55386"/>
    <w:rsid w:val="00F77A7F"/>
    <w:rsid w:val="00FA45BE"/>
    <w:rsid w:val="023756CA"/>
    <w:rsid w:val="026D51E8"/>
    <w:rsid w:val="03561F09"/>
    <w:rsid w:val="03766107"/>
    <w:rsid w:val="03844451"/>
    <w:rsid w:val="04357D70"/>
    <w:rsid w:val="04AF02D8"/>
    <w:rsid w:val="059F2B10"/>
    <w:rsid w:val="07794418"/>
    <w:rsid w:val="07CE3096"/>
    <w:rsid w:val="07FD4CF2"/>
    <w:rsid w:val="085E77C0"/>
    <w:rsid w:val="08971DC4"/>
    <w:rsid w:val="096C5988"/>
    <w:rsid w:val="09A45050"/>
    <w:rsid w:val="09A60824"/>
    <w:rsid w:val="09FC170A"/>
    <w:rsid w:val="0AD617D3"/>
    <w:rsid w:val="0B0A4565"/>
    <w:rsid w:val="0BBF2615"/>
    <w:rsid w:val="0CA737D5"/>
    <w:rsid w:val="0E146C48"/>
    <w:rsid w:val="0E792F4F"/>
    <w:rsid w:val="0FA47B58"/>
    <w:rsid w:val="0FA77648"/>
    <w:rsid w:val="122872E3"/>
    <w:rsid w:val="13784C2B"/>
    <w:rsid w:val="14967E8B"/>
    <w:rsid w:val="150B6BBC"/>
    <w:rsid w:val="15D73190"/>
    <w:rsid w:val="15FFCE06"/>
    <w:rsid w:val="176EB2CA"/>
    <w:rsid w:val="17797B1C"/>
    <w:rsid w:val="17B27999"/>
    <w:rsid w:val="17BE7C25"/>
    <w:rsid w:val="19153875"/>
    <w:rsid w:val="19CE055A"/>
    <w:rsid w:val="1A020BB5"/>
    <w:rsid w:val="1B5E1200"/>
    <w:rsid w:val="1C097DB4"/>
    <w:rsid w:val="1C550B58"/>
    <w:rsid w:val="1CEF11B4"/>
    <w:rsid w:val="1DA04055"/>
    <w:rsid w:val="1DCF52F6"/>
    <w:rsid w:val="1DE9F11D"/>
    <w:rsid w:val="1DFEF48B"/>
    <w:rsid w:val="1E5E9CAC"/>
    <w:rsid w:val="1E9F4C3A"/>
    <w:rsid w:val="1EA41923"/>
    <w:rsid w:val="1F264A2D"/>
    <w:rsid w:val="1FA16A2A"/>
    <w:rsid w:val="1FFED141"/>
    <w:rsid w:val="21494A03"/>
    <w:rsid w:val="234766C8"/>
    <w:rsid w:val="24951FAA"/>
    <w:rsid w:val="24F550BB"/>
    <w:rsid w:val="265A6D6B"/>
    <w:rsid w:val="282077E8"/>
    <w:rsid w:val="28A32C4B"/>
    <w:rsid w:val="290B259E"/>
    <w:rsid w:val="2A4D3676"/>
    <w:rsid w:val="2B7977F4"/>
    <w:rsid w:val="2BF6B04D"/>
    <w:rsid w:val="2E7C01C6"/>
    <w:rsid w:val="2F000DF7"/>
    <w:rsid w:val="2FE72238"/>
    <w:rsid w:val="30FC7FBB"/>
    <w:rsid w:val="333F5C66"/>
    <w:rsid w:val="34E9358D"/>
    <w:rsid w:val="35F61731"/>
    <w:rsid w:val="36334691"/>
    <w:rsid w:val="366A7D01"/>
    <w:rsid w:val="36773F8A"/>
    <w:rsid w:val="36B50719"/>
    <w:rsid w:val="36BB6B07"/>
    <w:rsid w:val="37752F0F"/>
    <w:rsid w:val="37DB54BF"/>
    <w:rsid w:val="37F4686F"/>
    <w:rsid w:val="3A2659AA"/>
    <w:rsid w:val="3B4B27A1"/>
    <w:rsid w:val="3B8C3A12"/>
    <w:rsid w:val="3B8C5043"/>
    <w:rsid w:val="3BF7822D"/>
    <w:rsid w:val="3CCF3BB7"/>
    <w:rsid w:val="3D0221DE"/>
    <w:rsid w:val="3D050933"/>
    <w:rsid w:val="3DE23256"/>
    <w:rsid w:val="3ECB2752"/>
    <w:rsid w:val="3EF3FC2D"/>
    <w:rsid w:val="3F20705E"/>
    <w:rsid w:val="3F2D2E17"/>
    <w:rsid w:val="3F4E83B9"/>
    <w:rsid w:val="3F791594"/>
    <w:rsid w:val="3F7F3D35"/>
    <w:rsid w:val="3FEF825B"/>
    <w:rsid w:val="41211069"/>
    <w:rsid w:val="41B74FC2"/>
    <w:rsid w:val="428C5B38"/>
    <w:rsid w:val="42F73E67"/>
    <w:rsid w:val="4469297D"/>
    <w:rsid w:val="45FD8A71"/>
    <w:rsid w:val="46C133EA"/>
    <w:rsid w:val="4775772E"/>
    <w:rsid w:val="4812704D"/>
    <w:rsid w:val="48FF203E"/>
    <w:rsid w:val="49DF8F8D"/>
    <w:rsid w:val="4BDC009E"/>
    <w:rsid w:val="4D330192"/>
    <w:rsid w:val="4E0B4C6B"/>
    <w:rsid w:val="4E7F63BA"/>
    <w:rsid w:val="4F136CC9"/>
    <w:rsid w:val="4F37A3C3"/>
    <w:rsid w:val="4F7E1BFB"/>
    <w:rsid w:val="519D2D69"/>
    <w:rsid w:val="51C73A2A"/>
    <w:rsid w:val="534D3630"/>
    <w:rsid w:val="53C02053"/>
    <w:rsid w:val="53DFDA61"/>
    <w:rsid w:val="53F35F85"/>
    <w:rsid w:val="56993C28"/>
    <w:rsid w:val="56FE711B"/>
    <w:rsid w:val="57D6273D"/>
    <w:rsid w:val="57F70E6F"/>
    <w:rsid w:val="57F7A238"/>
    <w:rsid w:val="57FFFCA8"/>
    <w:rsid w:val="58F06F37"/>
    <w:rsid w:val="58FC0A52"/>
    <w:rsid w:val="59EF3692"/>
    <w:rsid w:val="5A775CF4"/>
    <w:rsid w:val="5AAA72D0"/>
    <w:rsid w:val="5ABFA6AD"/>
    <w:rsid w:val="5B661732"/>
    <w:rsid w:val="5BD6492A"/>
    <w:rsid w:val="5C3B2BBF"/>
    <w:rsid w:val="5CB7BA99"/>
    <w:rsid w:val="5CFE9876"/>
    <w:rsid w:val="5D95E3D3"/>
    <w:rsid w:val="5DDE8EDA"/>
    <w:rsid w:val="5DFE7261"/>
    <w:rsid w:val="5EB623FC"/>
    <w:rsid w:val="5F061262"/>
    <w:rsid w:val="5F2F86E9"/>
    <w:rsid w:val="5F881C77"/>
    <w:rsid w:val="5FBF1DAC"/>
    <w:rsid w:val="5FE7E072"/>
    <w:rsid w:val="5FFC71C1"/>
    <w:rsid w:val="5FFF199C"/>
    <w:rsid w:val="601844CB"/>
    <w:rsid w:val="60F577E0"/>
    <w:rsid w:val="612C2AD6"/>
    <w:rsid w:val="621C6FEF"/>
    <w:rsid w:val="635F3C96"/>
    <w:rsid w:val="63F79408"/>
    <w:rsid w:val="63FBFE1C"/>
    <w:rsid w:val="64C9520C"/>
    <w:rsid w:val="64D916AD"/>
    <w:rsid w:val="65050E4B"/>
    <w:rsid w:val="651A5A67"/>
    <w:rsid w:val="65590188"/>
    <w:rsid w:val="66E20F29"/>
    <w:rsid w:val="67843A07"/>
    <w:rsid w:val="67E22141"/>
    <w:rsid w:val="67F65CF0"/>
    <w:rsid w:val="68841280"/>
    <w:rsid w:val="69101CB8"/>
    <w:rsid w:val="6B646D7A"/>
    <w:rsid w:val="6BEEE90C"/>
    <w:rsid w:val="6CFE95BA"/>
    <w:rsid w:val="6D6D4BA2"/>
    <w:rsid w:val="6D853C9A"/>
    <w:rsid w:val="6DD7B53C"/>
    <w:rsid w:val="6DDF82BB"/>
    <w:rsid w:val="6E602011"/>
    <w:rsid w:val="6EFAA790"/>
    <w:rsid w:val="6EFD8677"/>
    <w:rsid w:val="6F3B0F61"/>
    <w:rsid w:val="6F9BB48F"/>
    <w:rsid w:val="6FAFCD21"/>
    <w:rsid w:val="6FFDBC71"/>
    <w:rsid w:val="6FFF42B9"/>
    <w:rsid w:val="71015B07"/>
    <w:rsid w:val="71704C61"/>
    <w:rsid w:val="71E2790D"/>
    <w:rsid w:val="72120104"/>
    <w:rsid w:val="7375DF5E"/>
    <w:rsid w:val="739FA989"/>
    <w:rsid w:val="73E84F83"/>
    <w:rsid w:val="75510906"/>
    <w:rsid w:val="75C329E9"/>
    <w:rsid w:val="77453882"/>
    <w:rsid w:val="775F5835"/>
    <w:rsid w:val="777FD03C"/>
    <w:rsid w:val="779418F6"/>
    <w:rsid w:val="788E41AB"/>
    <w:rsid w:val="78EA354B"/>
    <w:rsid w:val="78FF0635"/>
    <w:rsid w:val="7952665C"/>
    <w:rsid w:val="79C77D14"/>
    <w:rsid w:val="79D7B71B"/>
    <w:rsid w:val="7A09750E"/>
    <w:rsid w:val="7A22475F"/>
    <w:rsid w:val="7A9419C0"/>
    <w:rsid w:val="7B401F8C"/>
    <w:rsid w:val="7B683BFD"/>
    <w:rsid w:val="7B6D8555"/>
    <w:rsid w:val="7B821819"/>
    <w:rsid w:val="7B871525"/>
    <w:rsid w:val="7BA935B8"/>
    <w:rsid w:val="7BB5BB3B"/>
    <w:rsid w:val="7BBD26E8"/>
    <w:rsid w:val="7BE694FB"/>
    <w:rsid w:val="7BEE3A28"/>
    <w:rsid w:val="7BFAD181"/>
    <w:rsid w:val="7BFF63B1"/>
    <w:rsid w:val="7CBE4AD3"/>
    <w:rsid w:val="7D2C4132"/>
    <w:rsid w:val="7D3B4375"/>
    <w:rsid w:val="7D49654D"/>
    <w:rsid w:val="7D7E018B"/>
    <w:rsid w:val="7DBF609B"/>
    <w:rsid w:val="7DD9A961"/>
    <w:rsid w:val="7DDF1AF8"/>
    <w:rsid w:val="7DFB24B8"/>
    <w:rsid w:val="7DFEAF7B"/>
    <w:rsid w:val="7E3E0B3C"/>
    <w:rsid w:val="7E5D031B"/>
    <w:rsid w:val="7EBFB26A"/>
    <w:rsid w:val="7EDF60AD"/>
    <w:rsid w:val="7EE97B2D"/>
    <w:rsid w:val="7EEB8A86"/>
    <w:rsid w:val="7EEF472E"/>
    <w:rsid w:val="7EFFCC16"/>
    <w:rsid w:val="7F315A30"/>
    <w:rsid w:val="7F3A4C55"/>
    <w:rsid w:val="7F545C52"/>
    <w:rsid w:val="7F704BF5"/>
    <w:rsid w:val="7F7F8A8C"/>
    <w:rsid w:val="7F9EA7B0"/>
    <w:rsid w:val="7FB7C30D"/>
    <w:rsid w:val="7FBA858F"/>
    <w:rsid w:val="7FBB9175"/>
    <w:rsid w:val="7FCD2D4D"/>
    <w:rsid w:val="7FCFCCF7"/>
    <w:rsid w:val="7FD5EA5C"/>
    <w:rsid w:val="7FE47013"/>
    <w:rsid w:val="7FE71B81"/>
    <w:rsid w:val="7FE76E58"/>
    <w:rsid w:val="7FEDAAE4"/>
    <w:rsid w:val="7FEF4D08"/>
    <w:rsid w:val="7FF56A5D"/>
    <w:rsid w:val="7FFF7CAA"/>
    <w:rsid w:val="7FFF95F4"/>
    <w:rsid w:val="97EF746C"/>
    <w:rsid w:val="9B6C4189"/>
    <w:rsid w:val="9B83DEA0"/>
    <w:rsid w:val="9D570E8E"/>
    <w:rsid w:val="9EBC40FA"/>
    <w:rsid w:val="9EFF4C41"/>
    <w:rsid w:val="9FFB95B8"/>
    <w:rsid w:val="A7F82082"/>
    <w:rsid w:val="A7FF7118"/>
    <w:rsid w:val="ABE6F352"/>
    <w:rsid w:val="AFFFE2DF"/>
    <w:rsid w:val="B3EF7825"/>
    <w:rsid w:val="B5BF2B77"/>
    <w:rsid w:val="B7DF1B8A"/>
    <w:rsid w:val="B7EA318C"/>
    <w:rsid w:val="B7EEDD60"/>
    <w:rsid w:val="BADDA352"/>
    <w:rsid w:val="BBEDFEE5"/>
    <w:rsid w:val="BBFF808A"/>
    <w:rsid w:val="BE697736"/>
    <w:rsid w:val="BEE35A71"/>
    <w:rsid w:val="BFCD2B58"/>
    <w:rsid w:val="BFDED32C"/>
    <w:rsid w:val="BFDF7383"/>
    <w:rsid w:val="BFFD155C"/>
    <w:rsid w:val="CB7B5CA3"/>
    <w:rsid w:val="CEF709A2"/>
    <w:rsid w:val="CFE59F0B"/>
    <w:rsid w:val="D3EA7009"/>
    <w:rsid w:val="D4FD4202"/>
    <w:rsid w:val="D72DFD28"/>
    <w:rsid w:val="D72F0654"/>
    <w:rsid w:val="D9FFED28"/>
    <w:rsid w:val="DB5863D9"/>
    <w:rsid w:val="DB73C688"/>
    <w:rsid w:val="DD67A53A"/>
    <w:rsid w:val="DDFB0729"/>
    <w:rsid w:val="DDFEF735"/>
    <w:rsid w:val="DE3E9CBE"/>
    <w:rsid w:val="DED669A1"/>
    <w:rsid w:val="DF3D929A"/>
    <w:rsid w:val="DF562D51"/>
    <w:rsid w:val="DF7FE03E"/>
    <w:rsid w:val="DFAF8B50"/>
    <w:rsid w:val="DFBF955F"/>
    <w:rsid w:val="DFDF164A"/>
    <w:rsid w:val="DFF30D5D"/>
    <w:rsid w:val="E7FD923B"/>
    <w:rsid w:val="E8F366F9"/>
    <w:rsid w:val="EAFFE1CE"/>
    <w:rsid w:val="EBDF69BD"/>
    <w:rsid w:val="ECF74D3C"/>
    <w:rsid w:val="EDFFE3B6"/>
    <w:rsid w:val="EEC72D3D"/>
    <w:rsid w:val="EECB4A9B"/>
    <w:rsid w:val="EF7F1E0D"/>
    <w:rsid w:val="EFF9A1F4"/>
    <w:rsid w:val="F36DBE3E"/>
    <w:rsid w:val="F3DBE64C"/>
    <w:rsid w:val="F5DD9CA7"/>
    <w:rsid w:val="F6DD208B"/>
    <w:rsid w:val="F7BFCCB3"/>
    <w:rsid w:val="F7D7476D"/>
    <w:rsid w:val="F7F7C63C"/>
    <w:rsid w:val="F7FB9D0A"/>
    <w:rsid w:val="F9F9D835"/>
    <w:rsid w:val="FA7F3EDC"/>
    <w:rsid w:val="FA8E0CE9"/>
    <w:rsid w:val="FABD7DDD"/>
    <w:rsid w:val="FB9FA703"/>
    <w:rsid w:val="FBADDBD9"/>
    <w:rsid w:val="FBDF7B5F"/>
    <w:rsid w:val="FBE72CAC"/>
    <w:rsid w:val="FBFE1F58"/>
    <w:rsid w:val="FCEEAECE"/>
    <w:rsid w:val="FCF9317D"/>
    <w:rsid w:val="FDCE7B3F"/>
    <w:rsid w:val="FDDF11B6"/>
    <w:rsid w:val="FDFF94D0"/>
    <w:rsid w:val="FE4349AE"/>
    <w:rsid w:val="FE7B838E"/>
    <w:rsid w:val="FEDD6C12"/>
    <w:rsid w:val="FEDEE4C4"/>
    <w:rsid w:val="FEFBAE56"/>
    <w:rsid w:val="FF198883"/>
    <w:rsid w:val="FF3F2AE1"/>
    <w:rsid w:val="FF6DF0C2"/>
    <w:rsid w:val="FF7A415B"/>
    <w:rsid w:val="FF9D2DC1"/>
    <w:rsid w:val="FFADB24F"/>
    <w:rsid w:val="FFADD35B"/>
    <w:rsid w:val="FFFE882D"/>
    <w:rsid w:val="FFF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3">
    <w:name w:val="Body Text"/>
    <w:basedOn w:val="1"/>
    <w:autoRedefine/>
    <w:qFormat/>
    <w:uiPriority w:val="0"/>
    <w:pPr>
      <w:spacing w:before="0" w:after="140" w:line="276" w:lineRule="auto"/>
    </w:p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22"/>
    <w:rPr>
      <w:b/>
      <w:bCs/>
    </w:rPr>
  </w:style>
  <w:style w:type="character" w:customStyle="1" w:styleId="8">
    <w:name w:val="apple-converted-space"/>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e195ee03-e1fa-4126-95ab-efe0202f50ab</errorID>
      <errorWord>带货</errorWord>
      <group>L1_Official</group>
      <groupName>公文问题</groupName>
      <ability>L2_Official</ability>
      <abilityName>公文问题</abilityName>
      <candidateList/>
      <explain>公文中禁止出现该词语</explain>
      <paraID>7F8BEC25</paraID>
      <start>179</start>
      <end>181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4f40d4-0f52-4f2d-9e72-ae24ecee5a4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24</Pages>
  <Words>8263</Words>
  <Characters>8973</Characters>
  <Lines>21</Lines>
  <Paragraphs>6</Paragraphs>
  <TotalTime>2331</TotalTime>
  <ScaleCrop>false</ScaleCrop>
  <LinksUpToDate>false</LinksUpToDate>
  <CharactersWithSpaces>9054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2018-03-04T07:32:00Z</dcterms:created>
  <dc:creator>微软用户</dc:creator>
  <cp:lastModifiedBy>女の子</cp:lastModifiedBy>
  <cp:lastPrinted>2026-03-24T09:35:00Z</cp:lastPrinted>
  <dcterms:modified xsi:type="dcterms:W3CDTF">2026-04-09T03:10:51Z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52C4E91C40474B7D8A28EBB3275B60A6_13</vt:lpwstr>
  </property>
  <property fmtid="{D5CDD505-2E9C-101B-9397-08002B2CF9AE}" pid="4" name="KSOTemplateDocerSaveRecord">
    <vt:lpwstr>eyJoZGlkIjoiZThiMmQ3NzQ3ZTFjZmNjYjU1NGI2MTc2OTgyMzExZmQiLCJ1c2VySWQiOiIzMjc0MTMzMjYifQ==</vt:lpwstr>
  </property>
</Properties>
</file>