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76422">
      <w:pPr>
        <w:spacing w:line="600" w:lineRule="exact"/>
        <w:jc w:val="center"/>
        <w:rPr>
          <w:rFonts w:hint="eastAsia" w:ascii="Times New Roman" w:hAnsi="Times New Roman" w:eastAsia="方正小标宋_GBK" w:cs="Times New Roman"/>
          <w:b w:val="0"/>
          <w:bCs w:val="0"/>
          <w:sz w:val="44"/>
          <w:szCs w:val="44"/>
          <w:highlight w:val="none"/>
          <w:lang w:val="en-US" w:eastAsia="zh-CN"/>
        </w:rPr>
      </w:pPr>
    </w:p>
    <w:p w14:paraId="3AE5FFA7">
      <w:pPr>
        <w:spacing w:line="600" w:lineRule="exact"/>
        <w:ind w:firstLine="880" w:firstLineChars="200"/>
        <w:jc w:val="center"/>
        <w:rPr>
          <w:rFonts w:hint="default" w:ascii="Times New Roman" w:hAnsi="Times New Roman" w:eastAsia="方正小标宋_GBK" w:cs="Times New Roman"/>
          <w:sz w:val="44"/>
          <w:szCs w:val="44"/>
          <w:highlight w:val="none"/>
        </w:rPr>
      </w:pPr>
    </w:p>
    <w:p w14:paraId="080044BE">
      <w:pPr>
        <w:spacing w:line="600" w:lineRule="exact"/>
        <w:ind w:firstLine="880" w:firstLineChars="200"/>
        <w:jc w:val="center"/>
        <w:rPr>
          <w:rFonts w:hint="default" w:ascii="Times New Roman" w:hAnsi="Times New Roman" w:eastAsia="方正小标宋_GBK" w:cs="Times New Roman"/>
          <w:sz w:val="44"/>
          <w:szCs w:val="44"/>
          <w:highlight w:val="none"/>
        </w:rPr>
      </w:pPr>
    </w:p>
    <w:p w14:paraId="5EA77006">
      <w:pPr>
        <w:spacing w:line="600" w:lineRule="exact"/>
        <w:ind w:firstLine="880" w:firstLineChars="200"/>
        <w:jc w:val="center"/>
        <w:rPr>
          <w:rFonts w:hint="default" w:ascii="Times New Roman" w:hAnsi="Times New Roman" w:eastAsia="方正小标宋_GBK" w:cs="Times New Roman"/>
          <w:sz w:val="44"/>
          <w:szCs w:val="44"/>
          <w:highlight w:val="none"/>
        </w:rPr>
      </w:pPr>
    </w:p>
    <w:p w14:paraId="53B9512F">
      <w:pPr>
        <w:spacing w:line="600" w:lineRule="exact"/>
        <w:ind w:firstLine="880" w:firstLineChars="200"/>
        <w:jc w:val="center"/>
        <w:rPr>
          <w:rFonts w:hint="default" w:ascii="Times New Roman" w:hAnsi="Times New Roman" w:eastAsia="方正小标宋_GBK" w:cs="Times New Roman"/>
          <w:sz w:val="44"/>
          <w:szCs w:val="44"/>
          <w:highlight w:val="none"/>
        </w:rPr>
      </w:pPr>
    </w:p>
    <w:p w14:paraId="3064EDEE">
      <w:pPr>
        <w:spacing w:line="600" w:lineRule="exact"/>
        <w:ind w:firstLine="880" w:firstLineChars="200"/>
        <w:jc w:val="center"/>
        <w:rPr>
          <w:rFonts w:hint="default" w:ascii="Times New Roman" w:hAnsi="Times New Roman" w:eastAsia="方正小标宋_GBK" w:cs="Times New Roman"/>
          <w:sz w:val="44"/>
          <w:szCs w:val="44"/>
          <w:highlight w:val="none"/>
        </w:rPr>
      </w:pPr>
    </w:p>
    <w:p w14:paraId="0B5D0328">
      <w:pPr>
        <w:spacing w:line="600" w:lineRule="exact"/>
        <w:ind w:firstLine="880" w:firstLineChars="200"/>
        <w:jc w:val="center"/>
        <w:rPr>
          <w:rFonts w:hint="default" w:ascii="Times New Roman" w:hAnsi="Times New Roman" w:eastAsia="方正小标宋_GBK" w:cs="Times New Roman"/>
          <w:sz w:val="44"/>
          <w:szCs w:val="44"/>
          <w:highlight w:val="none"/>
        </w:rPr>
      </w:pPr>
    </w:p>
    <w:p w14:paraId="69A27392">
      <w:pPr>
        <w:spacing w:line="600" w:lineRule="exact"/>
        <w:ind w:firstLine="880" w:firstLineChars="200"/>
        <w:jc w:val="center"/>
        <w:rPr>
          <w:rFonts w:hint="default" w:ascii="Times New Roman" w:hAnsi="Times New Roman" w:eastAsia="方正小标宋_GBK" w:cs="Times New Roman"/>
          <w:sz w:val="44"/>
          <w:szCs w:val="44"/>
          <w:highlight w:val="none"/>
        </w:rPr>
      </w:pPr>
    </w:p>
    <w:p w14:paraId="7D188465">
      <w:pPr>
        <w:spacing w:line="600" w:lineRule="exact"/>
        <w:ind w:firstLine="880" w:firstLineChars="200"/>
        <w:jc w:val="center"/>
        <w:rPr>
          <w:rFonts w:hint="default" w:ascii="Times New Roman" w:hAnsi="Times New Roman" w:eastAsia="方正小标宋_GBK" w:cs="Times New Roman"/>
          <w:sz w:val="44"/>
          <w:szCs w:val="44"/>
          <w:highlight w:val="none"/>
        </w:rPr>
      </w:pPr>
    </w:p>
    <w:p w14:paraId="11C4176B">
      <w:pPr>
        <w:spacing w:line="800" w:lineRule="exact"/>
        <w:ind w:firstLine="0" w:firstLineChars="0"/>
        <w:jc w:val="center"/>
        <w:rPr>
          <w:rFonts w:hint="eastAsia" w:ascii="Times New Roman" w:hAnsi="Times New Roman" w:eastAsia="方正小标宋_GBK" w:cs="Times New Roman"/>
          <w:sz w:val="72"/>
          <w:szCs w:val="72"/>
          <w:highlight w:val="none"/>
          <w:lang w:eastAsia="zh-CN"/>
        </w:rPr>
      </w:pPr>
      <w:r>
        <w:rPr>
          <w:rFonts w:hint="eastAsia" w:ascii="Times New Roman" w:hAnsi="Times New Roman" w:eastAsia="方正小标宋_GBK" w:cs="Times New Roman"/>
          <w:sz w:val="72"/>
          <w:szCs w:val="72"/>
          <w:highlight w:val="none"/>
          <w:lang w:eastAsia="zh-CN"/>
        </w:rPr>
        <w:t>广安市前锋区观塘镇人民政府</w:t>
      </w:r>
      <w:r>
        <w:rPr>
          <w:rFonts w:hint="eastAsia" w:ascii="Times New Roman" w:hAnsi="Times New Roman" w:eastAsia="方正小标宋_GBK" w:cs="Times New Roman"/>
          <w:sz w:val="72"/>
          <w:szCs w:val="72"/>
          <w:highlight w:val="none"/>
          <w:lang w:val="en-US" w:eastAsia="zh-CN"/>
        </w:rPr>
        <w:t>2025</w:t>
      </w:r>
      <w:r>
        <w:rPr>
          <w:rFonts w:hint="default" w:ascii="Times New Roman" w:hAnsi="Times New Roman" w:eastAsia="方正小标宋_GBK" w:cs="Times New Roman"/>
          <w:sz w:val="72"/>
          <w:szCs w:val="72"/>
          <w:highlight w:val="none"/>
        </w:rPr>
        <w:t>年部门预算</w:t>
      </w:r>
      <w:r>
        <w:rPr>
          <w:rFonts w:hint="eastAsia" w:ascii="Times New Roman" w:hAnsi="Times New Roman" w:eastAsia="方正小标宋_GBK" w:cs="Times New Roman"/>
          <w:sz w:val="72"/>
          <w:szCs w:val="72"/>
          <w:highlight w:val="none"/>
          <w:lang w:eastAsia="zh-CN"/>
        </w:rPr>
        <w:t>编制说明</w:t>
      </w:r>
    </w:p>
    <w:p w14:paraId="34034F17">
      <w:pPr>
        <w:jc w:val="center"/>
        <w:rPr>
          <w:rFonts w:hint="default" w:ascii="Times New Roman" w:hAnsi="Times New Roman" w:eastAsia="方正小标宋_GBK" w:cs="Times New Roman"/>
          <w:sz w:val="44"/>
          <w:szCs w:val="44"/>
          <w:highlight w:val="none"/>
        </w:rPr>
      </w:pPr>
    </w:p>
    <w:p w14:paraId="240B2D27">
      <w:pPr>
        <w:jc w:val="left"/>
        <w:rPr>
          <w:rFonts w:hint="default" w:asciiTheme="minorHAnsi" w:hAnsiTheme="minorHAnsi" w:eastAsiaTheme="minorEastAsia" w:cstheme="minorBidi"/>
          <w:kern w:val="2"/>
          <w:sz w:val="21"/>
          <w:szCs w:val="22"/>
          <w:lang w:val="en-US" w:eastAsia="zh-CN" w:bidi="ar-SA"/>
        </w:rPr>
      </w:pPr>
    </w:p>
    <w:p w14:paraId="7046C0EB">
      <w:pPr>
        <w:jc w:val="left"/>
        <w:rPr>
          <w:rFonts w:hint="default"/>
          <w:lang w:val="en-US" w:eastAsia="zh-CN"/>
        </w:rPr>
      </w:pPr>
    </w:p>
    <w:p w14:paraId="73E744ED">
      <w:pPr>
        <w:jc w:val="left"/>
        <w:rPr>
          <w:rFonts w:hint="default"/>
          <w:lang w:val="en-US" w:eastAsia="zh-CN"/>
        </w:rPr>
      </w:pPr>
    </w:p>
    <w:p w14:paraId="37B147C6">
      <w:pPr>
        <w:jc w:val="left"/>
        <w:rPr>
          <w:rFonts w:hint="default"/>
          <w:lang w:val="en-US" w:eastAsia="zh-CN"/>
        </w:rPr>
      </w:pPr>
    </w:p>
    <w:p w14:paraId="2E8BCAC3">
      <w:pPr>
        <w:jc w:val="left"/>
        <w:rPr>
          <w:rFonts w:hint="default"/>
          <w:lang w:val="en-US" w:eastAsia="zh-CN"/>
        </w:rPr>
      </w:pPr>
    </w:p>
    <w:p w14:paraId="009DC619">
      <w:pPr>
        <w:jc w:val="left"/>
        <w:rPr>
          <w:rFonts w:hint="default"/>
          <w:lang w:val="en-US" w:eastAsia="zh-CN"/>
        </w:rPr>
      </w:pPr>
    </w:p>
    <w:p w14:paraId="287F746B">
      <w:pPr>
        <w:jc w:val="left"/>
        <w:rPr>
          <w:rFonts w:hint="default"/>
          <w:lang w:val="en-US" w:eastAsia="zh-CN"/>
        </w:rPr>
      </w:pPr>
    </w:p>
    <w:p w14:paraId="698FF92B">
      <w:pPr>
        <w:jc w:val="left"/>
        <w:rPr>
          <w:rFonts w:hint="default"/>
          <w:lang w:val="en-US" w:eastAsia="zh-CN"/>
        </w:rPr>
      </w:pPr>
    </w:p>
    <w:p w14:paraId="332BC910">
      <w:pPr>
        <w:jc w:val="left"/>
        <w:rPr>
          <w:rFonts w:hint="default"/>
          <w:lang w:val="en-US" w:eastAsia="zh-CN"/>
        </w:rPr>
      </w:pPr>
    </w:p>
    <w:p w14:paraId="2664AADD">
      <w:pPr>
        <w:jc w:val="left"/>
        <w:rPr>
          <w:rFonts w:hint="default"/>
          <w:lang w:val="en-US" w:eastAsia="zh-CN"/>
        </w:rPr>
      </w:pPr>
    </w:p>
    <w:p w14:paraId="59918ADB">
      <w:pPr>
        <w:jc w:val="left"/>
        <w:rPr>
          <w:rFonts w:hint="default"/>
          <w:lang w:val="en-US" w:eastAsia="zh-CN"/>
        </w:rPr>
      </w:pPr>
    </w:p>
    <w:p w14:paraId="71E5FE74">
      <w:pPr>
        <w:jc w:val="left"/>
        <w:rPr>
          <w:rFonts w:hint="default"/>
          <w:lang w:val="en-US" w:eastAsia="zh-CN"/>
        </w:rPr>
      </w:pPr>
    </w:p>
    <w:p w14:paraId="7E925E74">
      <w:pPr>
        <w:jc w:val="left"/>
        <w:rPr>
          <w:rFonts w:hint="default"/>
          <w:lang w:val="en-US" w:eastAsia="zh-CN"/>
        </w:rPr>
      </w:pPr>
    </w:p>
    <w:p w14:paraId="4F313D55">
      <w:pPr>
        <w:jc w:val="left"/>
        <w:rPr>
          <w:rFonts w:hint="default"/>
          <w:lang w:val="en-US" w:eastAsia="zh-CN"/>
        </w:rPr>
      </w:pPr>
    </w:p>
    <w:p w14:paraId="1F7E369E">
      <w:pPr>
        <w:jc w:val="left"/>
        <w:rPr>
          <w:rFonts w:hint="default"/>
          <w:lang w:val="en-US" w:eastAsia="zh-CN"/>
        </w:rPr>
      </w:pPr>
    </w:p>
    <w:p w14:paraId="2F5E6562">
      <w:pPr>
        <w:jc w:val="left"/>
        <w:rPr>
          <w:rFonts w:hint="default"/>
          <w:lang w:val="en-US" w:eastAsia="zh-CN"/>
        </w:rPr>
      </w:pPr>
    </w:p>
    <w:p w14:paraId="5EF98759">
      <w:pPr>
        <w:tabs>
          <w:tab w:val="center" w:pos="4153"/>
        </w:tabs>
        <w:jc w:val="left"/>
        <w:rPr>
          <w:rFonts w:hint="default" w:ascii="Times New Roman" w:hAnsi="Times New Roman" w:eastAsia="方正小标宋_GBK" w:cs="Times New Roman"/>
          <w:sz w:val="44"/>
          <w:szCs w:val="44"/>
          <w:highlight w:val="none"/>
        </w:rPr>
      </w:pPr>
      <w:r>
        <w:rPr>
          <w:rFonts w:hint="eastAsia"/>
          <w:lang w:val="en-US" w:eastAsia="zh-CN"/>
        </w:rPr>
        <w:tab/>
      </w:r>
      <w:r>
        <w:rPr>
          <w:rFonts w:hint="default" w:ascii="Times New Roman" w:hAnsi="Times New Roman" w:eastAsia="方正小标宋_GBK" w:cs="Times New Roman"/>
          <w:sz w:val="44"/>
          <w:szCs w:val="44"/>
          <w:highlight w:val="none"/>
        </w:rPr>
        <w:t>目录</w:t>
      </w:r>
    </w:p>
    <w:p w14:paraId="4CC082CA">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lang w:val="zh-CN"/>
        </w:rPr>
      </w:pPr>
    </w:p>
    <w:p w14:paraId="195D6A2B">
      <w:pPr>
        <w:spacing w:beforeLines="0" w:afterLines="0" w:line="600" w:lineRule="exact"/>
        <w:ind w:left="638" w:leftChars="304" w:firstLine="0" w:firstLineChars="0"/>
        <w:jc w:val="left"/>
        <w:rPr>
          <w:rFonts w:hint="default" w:ascii="Times New Roman" w:hAnsi="Times New Roman" w:eastAsia="仿宋_GB2312" w:cs="Times New Roman"/>
          <w:b/>
          <w:bCs/>
          <w:color w:val="auto"/>
          <w:sz w:val="32"/>
          <w:szCs w:val="32"/>
          <w:highlight w:val="none"/>
          <w:lang w:val="zh-CN"/>
        </w:rPr>
      </w:pPr>
      <w:r>
        <w:rPr>
          <w:rFonts w:hint="default" w:ascii="Times New Roman" w:hAnsi="Times New Roman" w:eastAsia="仿宋_GB2312" w:cs="Times New Roman"/>
          <w:b/>
          <w:bCs/>
          <w:color w:val="auto"/>
          <w:sz w:val="32"/>
          <w:szCs w:val="32"/>
          <w:highlight w:val="none"/>
          <w:lang w:val="zh-CN"/>
        </w:rPr>
        <w:t>第一部分  广安市前锋区观塘镇人民政府概况</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zh-CN"/>
        </w:rPr>
        <w:t>1</w:t>
      </w:r>
    </w:p>
    <w:p w14:paraId="5DE8F804">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rPr>
        <w:t>一、基本职能及主要工作</w:t>
      </w:r>
      <w:r>
        <w:rPr>
          <w:rFonts w:hint="default" w:ascii="Times New Roman" w:hAnsi="Times New Roman" w:eastAsia="仿宋_GB2312" w:cs="Times New Roman"/>
          <w:color w:val="auto"/>
          <w:sz w:val="32"/>
          <w:szCs w:val="32"/>
          <w:highlight w:val="none"/>
          <w:lang w:val="zh-CN"/>
        </w:rPr>
        <w:tab/>
      </w:r>
      <w:r>
        <w:rPr>
          <w:rFonts w:hint="eastAsia" w:ascii="Times New Roman" w:hAnsi="Times New Roman" w:eastAsia="仿宋_GB2312" w:cs="Times New Roman"/>
          <w:color w:val="auto"/>
          <w:sz w:val="32"/>
          <w:szCs w:val="32"/>
          <w:highlight w:val="none"/>
          <w:lang w:val="en-US" w:eastAsia="zh-CN"/>
        </w:rPr>
        <w:t>.................................................2</w:t>
      </w:r>
    </w:p>
    <w:p w14:paraId="290254B6">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二、部门预算单位构成情况</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4</w:t>
      </w:r>
    </w:p>
    <w:p w14:paraId="22D8B23E">
      <w:pPr>
        <w:ind w:left="638" w:leftChars="304" w:firstLine="0" w:firstLineChars="0"/>
        <w:jc w:val="left"/>
        <w:rPr>
          <w:rFonts w:hint="eastAsia" w:ascii="Times New Roman" w:hAnsi="Times New Roman" w:eastAsia="仿宋_GB2312" w:cs="Times New Roman"/>
          <w:b/>
          <w:bCs/>
          <w:color w:val="auto"/>
          <w:sz w:val="32"/>
          <w:szCs w:val="32"/>
          <w:highlight w:val="none"/>
          <w:lang w:val="zh-CN" w:eastAsia="zh-CN"/>
        </w:rPr>
      </w:pPr>
      <w:r>
        <w:rPr>
          <w:rFonts w:hint="default" w:ascii="Times New Roman" w:hAnsi="Times New Roman" w:eastAsia="仿宋_GB2312" w:cs="Times New Roman"/>
          <w:b/>
          <w:bCs/>
          <w:color w:val="auto"/>
          <w:sz w:val="32"/>
          <w:szCs w:val="32"/>
          <w:highlight w:val="none"/>
          <w:lang w:val="zh-CN"/>
        </w:rPr>
        <w:t xml:space="preserve">第二部分  </w:t>
      </w:r>
      <w:r>
        <w:rPr>
          <w:rFonts w:hint="default" w:ascii="Times New Roman" w:hAnsi="Times New Roman" w:eastAsia="仿宋_GB2312" w:cs="Times New Roman"/>
          <w:b/>
          <w:bCs/>
          <w:color w:val="auto"/>
          <w:kern w:val="2"/>
          <w:sz w:val="32"/>
          <w:szCs w:val="32"/>
          <w:highlight w:val="none"/>
          <w:shd w:val="clear" w:color="auto" w:fill="auto"/>
          <w:lang w:val="zh-CN" w:eastAsia="zh-CN" w:bidi="ar"/>
        </w:rPr>
        <w:t>广安市前锋区观塘镇人民政府</w:t>
      </w:r>
      <w:r>
        <w:rPr>
          <w:rFonts w:hint="eastAsia" w:ascii="Times New Roman" w:hAnsi="Times New Roman" w:eastAsia="仿宋_GB2312" w:cs="Times New Roman"/>
          <w:b/>
          <w:bCs/>
          <w:color w:val="auto"/>
          <w:kern w:val="2"/>
          <w:sz w:val="32"/>
          <w:szCs w:val="32"/>
          <w:highlight w:val="none"/>
          <w:shd w:val="clear" w:color="auto" w:fill="auto"/>
          <w:lang w:val="zh-CN" w:eastAsia="zh-CN" w:bidi="ar"/>
        </w:rPr>
        <w:t>2025</w:t>
      </w:r>
      <w:r>
        <w:rPr>
          <w:rFonts w:hint="default" w:ascii="Times New Roman" w:hAnsi="Times New Roman" w:eastAsia="仿宋_GB2312" w:cs="Times New Roman"/>
          <w:b/>
          <w:bCs/>
          <w:color w:val="auto"/>
          <w:kern w:val="2"/>
          <w:sz w:val="32"/>
          <w:szCs w:val="32"/>
          <w:highlight w:val="none"/>
          <w:shd w:val="clear" w:color="auto" w:fill="auto"/>
          <w:lang w:val="zh-CN" w:eastAsia="zh-CN" w:bidi="ar"/>
        </w:rPr>
        <w:t>年部门预算情况说明</w:t>
      </w:r>
      <w:r>
        <w:rPr>
          <w:rFonts w:hint="eastAsia" w:ascii="Times New Roman" w:hAnsi="Times New Roman" w:eastAsia="仿宋_GB2312" w:cs="Times New Roman"/>
          <w:b/>
          <w:bCs/>
          <w:color w:val="auto"/>
          <w:kern w:val="2"/>
          <w:sz w:val="32"/>
          <w:szCs w:val="32"/>
          <w:highlight w:val="none"/>
          <w:shd w:val="clear"/>
          <w:lang w:val="en-US" w:eastAsia="zh-CN" w:bidi="ar"/>
        </w:rPr>
        <w:t>.....................................................................</w:t>
      </w:r>
      <w:r>
        <w:rPr>
          <w:rFonts w:hint="eastAsia" w:ascii="Times New Roman" w:hAnsi="Times New Roman" w:eastAsia="仿宋_GB2312" w:cs="Times New Roman"/>
          <w:b/>
          <w:bCs/>
          <w:color w:val="auto"/>
          <w:sz w:val="32"/>
          <w:szCs w:val="32"/>
          <w:highlight w:val="none"/>
          <w:lang w:val="en-US" w:eastAsia="zh-CN"/>
        </w:rPr>
        <w:t>6</w:t>
      </w:r>
    </w:p>
    <w:p w14:paraId="1BF6BA29">
      <w:pPr>
        <w:spacing w:beforeLines="0" w:afterLines="0" w:line="600" w:lineRule="exact"/>
        <w:ind w:firstLine="640" w:firstLineChars="200"/>
        <w:jc w:val="left"/>
        <w:rPr>
          <w:rFonts w:hint="eastAsia"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一、收支预算情况说明</w:t>
      </w:r>
      <w:r>
        <w:rPr>
          <w:rFonts w:hint="eastAsia" w:ascii="Times New Roman" w:hAnsi="Times New Roman" w:eastAsia="仿宋_GB2312" w:cs="Times New Roman"/>
          <w:color w:val="auto"/>
          <w:sz w:val="32"/>
          <w:szCs w:val="32"/>
          <w:highlight w:val="none"/>
          <w:lang w:val="en-US" w:eastAsia="zh-CN"/>
        </w:rPr>
        <w:t>.......................................................7</w:t>
      </w:r>
    </w:p>
    <w:p w14:paraId="621573AD">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rPr>
        <w:t>二、财政拨款收支预算情况说明</w:t>
      </w:r>
      <w:r>
        <w:rPr>
          <w:rFonts w:hint="eastAsia" w:ascii="Times New Roman" w:hAnsi="Times New Roman" w:eastAsia="仿宋_GB2312" w:cs="Times New Roman"/>
          <w:color w:val="auto"/>
          <w:sz w:val="32"/>
          <w:szCs w:val="32"/>
          <w:highlight w:val="none"/>
          <w:lang w:val="en-US" w:eastAsia="zh-CN"/>
        </w:rPr>
        <w:t>......................................7</w:t>
      </w:r>
    </w:p>
    <w:p w14:paraId="1C1A5EBE">
      <w:pPr>
        <w:spacing w:beforeLines="0" w:afterLines="0" w:line="600" w:lineRule="exact"/>
        <w:ind w:firstLine="640" w:firstLineChars="200"/>
        <w:jc w:val="left"/>
        <w:rPr>
          <w:rFonts w:hint="eastAsia"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val="zh-CN"/>
        </w:rPr>
        <w:t>三、一般公共预算当年拨款情况说明</w:t>
      </w:r>
      <w:r>
        <w:rPr>
          <w:rFonts w:hint="eastAsia" w:ascii="Times New Roman" w:hAnsi="Times New Roman" w:eastAsia="仿宋_GB2312" w:cs="Times New Roman"/>
          <w:color w:val="auto"/>
          <w:sz w:val="32"/>
          <w:szCs w:val="32"/>
          <w:highlight w:val="none"/>
          <w:lang w:val="en-US" w:eastAsia="zh-CN"/>
        </w:rPr>
        <w:t>..............................8</w:t>
      </w:r>
    </w:p>
    <w:p w14:paraId="25C515BF">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zh-CN"/>
        </w:rPr>
        <w:t>四、一般公共预算基本支出情况说明</w:t>
      </w:r>
      <w:r>
        <w:rPr>
          <w:rFonts w:hint="eastAsia" w:ascii="Times New Roman" w:hAnsi="Times New Roman" w:eastAsia="仿宋_GB2312" w:cs="Times New Roman"/>
          <w:color w:val="auto"/>
          <w:sz w:val="32"/>
          <w:szCs w:val="32"/>
          <w:highlight w:val="none"/>
          <w:lang w:val="en-US" w:eastAsia="zh-CN"/>
        </w:rPr>
        <w:t>.............................11</w:t>
      </w:r>
    </w:p>
    <w:p w14:paraId="5CC58B08">
      <w:pPr>
        <w:spacing w:beforeLines="0" w:afterLines="0" w:line="600" w:lineRule="exact"/>
        <w:ind w:left="638" w:leftChars="304" w:firstLine="0" w:firstLineChars="0"/>
        <w:jc w:val="left"/>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lang w:val="zh-CN"/>
        </w:rPr>
        <w:t>五、“三公”经费财政拨款预算安排情况说明</w:t>
      </w:r>
      <w:r>
        <w:rPr>
          <w:rFonts w:hint="default" w:ascii="Times New Roman" w:hAnsi="Times New Roman" w:eastAsia="仿宋_GB2312" w:cs="Times New Roman"/>
          <w:color w:val="auto"/>
          <w:sz w:val="32"/>
          <w:szCs w:val="32"/>
          <w:highlight w:val="none"/>
          <w:lang w:val="zh-CN"/>
        </w:rPr>
        <w:tab/>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lang w:val="zh-CN"/>
        </w:rPr>
        <w:t>六、政府性基金预算支出情况说明</w:t>
      </w:r>
      <w:r>
        <w:rPr>
          <w:rFonts w:hint="default" w:ascii="Times New Roman" w:hAnsi="Times New Roman" w:eastAsia="仿宋_GB2312" w:cs="Times New Roman"/>
          <w:color w:val="auto"/>
          <w:sz w:val="32"/>
          <w:szCs w:val="32"/>
          <w:highlight w:val="none"/>
          <w:lang w:val="zh-CN"/>
        </w:rPr>
        <w:tab/>
      </w:r>
      <w:r>
        <w:rPr>
          <w:rFonts w:hint="eastAsia" w:ascii="Times New Roman" w:hAnsi="Times New Roman" w:eastAsia="仿宋_GB2312" w:cs="Times New Roman"/>
          <w:color w:val="auto"/>
          <w:sz w:val="32"/>
          <w:szCs w:val="32"/>
          <w:highlight w:val="none"/>
          <w:lang w:val="en-US" w:eastAsia="zh-CN"/>
        </w:rPr>
        <w:t>...............................12</w:t>
      </w:r>
    </w:p>
    <w:p w14:paraId="65F94CF1">
      <w:pPr>
        <w:spacing w:beforeLines="0" w:afterLines="0" w:line="60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zh-CN"/>
        </w:rPr>
        <w:t>七、国有资本经营预算情况说明</w:t>
      </w:r>
      <w:r>
        <w:rPr>
          <w:rFonts w:hint="eastAsia" w:ascii="Times New Roman" w:hAnsi="Times New Roman" w:eastAsia="仿宋_GB2312" w:cs="Times New Roman"/>
          <w:color w:val="auto"/>
          <w:sz w:val="32"/>
          <w:szCs w:val="32"/>
          <w:highlight w:val="none"/>
          <w:lang w:val="en-US" w:eastAsia="zh-CN"/>
        </w:rPr>
        <w:t>....................................12</w:t>
      </w:r>
    </w:p>
    <w:p w14:paraId="1A223DF6">
      <w:pPr>
        <w:spacing w:beforeLines="0" w:afterLines="0" w:line="60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zh-CN"/>
        </w:rPr>
        <w:t>八、其他重要事项的情况说明</w:t>
      </w:r>
      <w:r>
        <w:rPr>
          <w:rFonts w:hint="eastAsia" w:ascii="Times New Roman" w:hAnsi="Times New Roman" w:eastAsia="仿宋_GB2312" w:cs="Times New Roman"/>
          <w:color w:val="auto"/>
          <w:sz w:val="32"/>
          <w:szCs w:val="32"/>
          <w:highlight w:val="none"/>
          <w:lang w:val="en-US" w:eastAsia="zh-CN"/>
        </w:rPr>
        <w:t>.........................................12</w:t>
      </w:r>
    </w:p>
    <w:p w14:paraId="0F4C3F8A">
      <w:pPr>
        <w:spacing w:beforeLines="0" w:afterLines="0" w:line="600" w:lineRule="exact"/>
        <w:ind w:firstLine="643" w:firstLineChars="200"/>
        <w:jc w:val="left"/>
        <w:rPr>
          <w:rFonts w:hint="eastAsia" w:ascii="Times New Roman" w:hAnsi="Times New Roman" w:eastAsia="仿宋_GB2312" w:cs="Times New Roman"/>
          <w:b/>
          <w:bCs/>
          <w:color w:val="auto"/>
          <w:sz w:val="32"/>
          <w:szCs w:val="32"/>
          <w:highlight w:val="none"/>
          <w:lang w:val="zh-CN"/>
        </w:rPr>
      </w:pPr>
      <w:r>
        <w:rPr>
          <w:rFonts w:hint="default" w:ascii="Times New Roman" w:hAnsi="Times New Roman" w:eastAsia="仿宋_GB2312" w:cs="Times New Roman"/>
          <w:b/>
          <w:bCs/>
          <w:color w:val="auto"/>
          <w:sz w:val="32"/>
          <w:szCs w:val="32"/>
          <w:highlight w:val="none"/>
          <w:lang w:val="zh-CN"/>
        </w:rPr>
        <w:t>第三部分  名词</w:t>
      </w:r>
      <w:r>
        <w:rPr>
          <w:rFonts w:hint="eastAsia" w:ascii="Times New Roman" w:hAnsi="Times New Roman" w:eastAsia="仿宋_GB2312" w:cs="Times New Roman"/>
          <w:b/>
          <w:bCs/>
          <w:color w:val="auto"/>
          <w:sz w:val="32"/>
          <w:szCs w:val="32"/>
          <w:highlight w:val="none"/>
          <w:lang w:val="zh-CN"/>
        </w:rPr>
        <w:t>解</w:t>
      </w:r>
      <w:r>
        <w:rPr>
          <w:rFonts w:hint="default" w:ascii="Times New Roman" w:hAnsi="Times New Roman" w:eastAsia="仿宋_GB2312" w:cs="Times New Roman"/>
          <w:b/>
          <w:bCs/>
          <w:color w:val="auto"/>
          <w:sz w:val="32"/>
          <w:szCs w:val="32"/>
          <w:highlight w:val="none"/>
          <w:lang w:val="zh-CN"/>
        </w:rPr>
        <w:t>释...................</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zh-CN"/>
        </w:rPr>
        <w:t>............1</w:t>
      </w:r>
      <w:r>
        <w:rPr>
          <w:rFonts w:hint="eastAsia" w:ascii="Times New Roman" w:hAnsi="Times New Roman" w:eastAsia="仿宋_GB2312" w:cs="Times New Roman"/>
          <w:b/>
          <w:bCs/>
          <w:color w:val="auto"/>
          <w:sz w:val="32"/>
          <w:szCs w:val="32"/>
          <w:highlight w:val="none"/>
          <w:lang w:val="en-US" w:eastAsia="zh-CN"/>
        </w:rPr>
        <w:t>4</w:t>
      </w:r>
    </w:p>
    <w:p w14:paraId="65809928">
      <w:pPr>
        <w:spacing w:beforeLines="0" w:afterLines="0" w:line="600" w:lineRule="exact"/>
        <w:ind w:left="638" w:leftChars="304" w:firstLine="0" w:firstLineChars="0"/>
        <w:jc w:val="left"/>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zh-CN"/>
        </w:rPr>
        <w:t>第四部分  广安市前锋区</w:t>
      </w:r>
      <w:r>
        <w:rPr>
          <w:rFonts w:hint="eastAsia" w:ascii="Times New Roman" w:hAnsi="Times New Roman" w:eastAsia="仿宋_GB2312" w:cs="Times New Roman"/>
          <w:b/>
          <w:bCs/>
          <w:color w:val="auto"/>
          <w:sz w:val="32"/>
          <w:szCs w:val="32"/>
          <w:highlight w:val="none"/>
          <w:lang w:val="zh-CN"/>
        </w:rPr>
        <w:t>观塘镇</w:t>
      </w:r>
      <w:r>
        <w:rPr>
          <w:rFonts w:hint="default" w:ascii="Times New Roman" w:hAnsi="Times New Roman" w:eastAsia="仿宋_GB2312" w:cs="Times New Roman"/>
          <w:b/>
          <w:bCs/>
          <w:color w:val="auto"/>
          <w:sz w:val="32"/>
          <w:szCs w:val="32"/>
          <w:highlight w:val="none"/>
          <w:lang w:val="zh-CN"/>
        </w:rPr>
        <w:t>人民政府</w:t>
      </w:r>
      <w:r>
        <w:rPr>
          <w:rFonts w:hint="eastAsia" w:ascii="Times New Roman" w:hAnsi="Times New Roman" w:eastAsia="仿宋_GB2312" w:cs="Times New Roman"/>
          <w:b/>
          <w:bCs/>
          <w:color w:val="auto"/>
          <w:sz w:val="32"/>
          <w:szCs w:val="32"/>
          <w:highlight w:val="none"/>
          <w:lang w:val="zh-CN"/>
        </w:rPr>
        <w:t>2025</w:t>
      </w:r>
      <w:r>
        <w:rPr>
          <w:rFonts w:hint="default" w:ascii="Times New Roman" w:hAnsi="Times New Roman" w:eastAsia="仿宋_GB2312" w:cs="Times New Roman"/>
          <w:b/>
          <w:bCs/>
          <w:color w:val="auto"/>
          <w:sz w:val="32"/>
          <w:szCs w:val="32"/>
          <w:highlight w:val="none"/>
          <w:lang w:val="zh-CN"/>
        </w:rPr>
        <w:t>年部门预算表</w:t>
      </w:r>
      <w:r>
        <w:rPr>
          <w:rFonts w:hint="eastAsia" w:ascii="Times New Roman" w:hAnsi="Times New Roman" w:eastAsia="仿宋_GB2312" w:cs="Times New Roman"/>
          <w:b/>
          <w:bCs/>
          <w:color w:val="auto"/>
          <w:sz w:val="32"/>
          <w:szCs w:val="32"/>
          <w:highlight w:val="none"/>
          <w:lang w:val="en-US" w:eastAsia="zh-CN"/>
        </w:rPr>
        <w:t>...............................................................................19</w:t>
      </w:r>
    </w:p>
    <w:p w14:paraId="46D7991D">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lang w:val="zh-CN"/>
        </w:rPr>
        <w:t>表1 部门</w:t>
      </w:r>
      <w:r>
        <w:rPr>
          <w:rFonts w:hint="eastAsia" w:ascii="Times New Roman" w:hAnsi="Times New Roman" w:eastAsia="仿宋_GB2312" w:cs="Times New Roman"/>
          <w:color w:val="auto"/>
          <w:sz w:val="32"/>
          <w:szCs w:val="32"/>
          <w:highlight w:val="none"/>
          <w:lang w:val="zh-CN"/>
        </w:rPr>
        <w:t>收支</w:t>
      </w:r>
      <w:r>
        <w:rPr>
          <w:rFonts w:hint="eastAsia" w:ascii="Times New Roman" w:hAnsi="Times New Roman" w:eastAsia="仿宋_GB2312" w:cs="Times New Roman"/>
          <w:color w:val="auto"/>
          <w:sz w:val="32"/>
          <w:szCs w:val="32"/>
          <w:highlight w:val="none"/>
          <w:lang w:val="en-US" w:eastAsia="zh-CN"/>
        </w:rPr>
        <w:t>表</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20</w:t>
      </w:r>
    </w:p>
    <w:p w14:paraId="2271AEC9">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rPr>
        <w:t>表1-1 部门收入总表...................................................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20</w:t>
      </w:r>
    </w:p>
    <w:p w14:paraId="20966A9D">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rPr>
        <w:t>表1-2 部门支出总表................................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20</w:t>
      </w:r>
    </w:p>
    <w:p w14:paraId="0BB94805">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lang w:val="zh-CN"/>
        </w:rPr>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start="1"/>
          <w:cols w:space="425" w:num="1"/>
          <w:docGrid w:type="lines" w:linePitch="312" w:charSpace="0"/>
        </w:sectPr>
      </w:pPr>
    </w:p>
    <w:p w14:paraId="5E55B95F">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rPr>
        <w:t>表2 财政拨款收支预算总表.................................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20</w:t>
      </w:r>
    </w:p>
    <w:p w14:paraId="054B49EF">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rPr>
        <w:t>表2-1财政拨款支出预算表（部门经济分类科目）.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20</w:t>
      </w:r>
    </w:p>
    <w:p w14:paraId="03A53E52">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rPr>
        <w:t>表3 一般公共预算支出预算表..............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20</w:t>
      </w:r>
    </w:p>
    <w:p w14:paraId="3F7A2AAB">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rPr>
        <w:t>表3-1 一般公共预算基本支出预算表.........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20</w:t>
      </w:r>
    </w:p>
    <w:p w14:paraId="22BB7530">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rPr>
        <w:t>表3-2一般公共预算项目支出预算表.........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20</w:t>
      </w:r>
    </w:p>
    <w:p w14:paraId="19E0D3ED">
      <w:pPr>
        <w:spacing w:beforeLines="0" w:afterLines="0" w:line="600" w:lineRule="exact"/>
        <w:ind w:left="638" w:leftChars="304" w:firstLine="0" w:firstLineChars="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rPr>
        <w:t>表3-3 一般公共预算“三公”经费支出预算表.........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lang w:val="zh-CN"/>
        </w:rPr>
        <w:t>表4 政府性基金预算支出预算表....................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20</w:t>
      </w:r>
    </w:p>
    <w:p w14:paraId="391CAB61">
      <w:pPr>
        <w:spacing w:beforeLines="0" w:afterLines="0" w:line="600" w:lineRule="exact"/>
        <w:ind w:left="638" w:leftChars="304" w:firstLine="0" w:firstLineChars="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rPr>
        <w:t>表4-1 政府性基金预算“三公”经费支出预算表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20</w:t>
      </w:r>
    </w:p>
    <w:p w14:paraId="4B696758">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rPr>
        <w:t>表5 国有资本经营预算支出预算表..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20</w:t>
      </w:r>
    </w:p>
    <w:p w14:paraId="5F1B53EC">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rPr>
        <w:t>表6 部门预算项目绩效目标表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20</w:t>
      </w:r>
    </w:p>
    <w:p w14:paraId="22713735">
      <w:pPr>
        <w:spacing w:beforeLines="0" w:afterLines="0" w:line="60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zh-CN"/>
        </w:rPr>
        <w:t>表7 部门整体支出绩效目标表.........................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20</w:t>
      </w:r>
    </w:p>
    <w:p w14:paraId="0D96B5F7">
      <w:pPr>
        <w:spacing w:beforeLines="0" w:afterLines="0" w:line="600" w:lineRule="exact"/>
        <w:ind w:firstLine="880" w:firstLineChars="200"/>
        <w:jc w:val="left"/>
        <w:rPr>
          <w:rFonts w:hint="default" w:ascii="Times New Roman" w:hAnsi="Times New Roman" w:eastAsia="方正小标宋_GBK" w:cs="Times New Roman"/>
          <w:sz w:val="44"/>
          <w:szCs w:val="44"/>
          <w:highlight w:val="none"/>
          <w:lang w:eastAsia="zh-CN"/>
        </w:rPr>
        <w:sectPr>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start="1"/>
          <w:cols w:space="425" w:num="1"/>
          <w:docGrid w:type="lines" w:linePitch="312" w:charSpace="0"/>
        </w:sectPr>
      </w:pPr>
    </w:p>
    <w:p w14:paraId="14EC61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1394F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CBA48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3917C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B755C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DA105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491C9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2F213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BDF31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1397E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广安市前锋区观塘镇人民政府概况</w:t>
      </w:r>
    </w:p>
    <w:p w14:paraId="3E1460E3">
      <w:pPr>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br w:type="page"/>
      </w:r>
    </w:p>
    <w:p w14:paraId="6C54F4C0">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14:paraId="21053B62">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w:t>
      </w:r>
      <w:r>
        <w:rPr>
          <w:rFonts w:hint="eastAsia" w:ascii="Times New Roman" w:hAnsi="Times New Roman" w:eastAsia="楷体_GB2312" w:cs="Times New Roman"/>
          <w:b/>
          <w:sz w:val="32"/>
          <w:szCs w:val="32"/>
          <w:highlight w:val="none"/>
          <w:lang w:eastAsia="zh-CN"/>
        </w:rPr>
        <w:t>观塘镇</w:t>
      </w:r>
      <w:r>
        <w:rPr>
          <w:rFonts w:hint="default" w:ascii="Times New Roman" w:hAnsi="Times New Roman" w:eastAsia="楷体_GB2312" w:cs="Times New Roman"/>
          <w:b/>
          <w:sz w:val="32"/>
          <w:szCs w:val="32"/>
          <w:highlight w:val="none"/>
        </w:rPr>
        <w:t>职能简介。</w:t>
      </w:r>
    </w:p>
    <w:p w14:paraId="3583157F">
      <w:pPr>
        <w:spacing w:line="600" w:lineRule="exact"/>
        <w:ind w:firstLine="660" w:firstLineChars="200"/>
        <w:rPr>
          <w:rFonts w:hint="default" w:ascii="方正仿宋_GBK" w:hAnsi="方正仿宋_GBK" w:eastAsia="方正仿宋_GBK" w:cs="方正仿宋_GBK"/>
          <w:color w:val="auto"/>
          <w:kern w:val="2"/>
          <w:sz w:val="33"/>
          <w:szCs w:val="33"/>
          <w:shd w:val="clear" w:color="auto" w:fill="FFFFFF"/>
          <w:lang w:val="en-US" w:eastAsia="zh-CN" w:bidi="ar-SA"/>
        </w:rPr>
      </w:pPr>
      <w:r>
        <w:rPr>
          <w:rFonts w:hint="eastAsia" w:ascii="方正仿宋_GBK" w:hAnsi="方正仿宋_GBK" w:eastAsia="方正仿宋_GBK" w:cs="方正仿宋_GBK"/>
          <w:color w:val="auto"/>
          <w:kern w:val="2"/>
          <w:sz w:val="33"/>
          <w:szCs w:val="33"/>
          <w:shd w:val="clear" w:color="auto" w:fill="FFFFFF"/>
          <w:lang w:val="en-US" w:eastAsia="zh-CN" w:bidi="ar-SA"/>
        </w:rPr>
        <w:t>1.</w:t>
      </w:r>
      <w:r>
        <w:rPr>
          <w:rFonts w:hint="default" w:ascii="方正仿宋_GBK" w:hAnsi="方正仿宋_GBK" w:eastAsia="方正仿宋_GBK" w:cs="方正仿宋_GBK"/>
          <w:color w:val="auto"/>
          <w:kern w:val="2"/>
          <w:sz w:val="33"/>
          <w:szCs w:val="33"/>
          <w:shd w:val="clear" w:color="auto" w:fill="FFFFFF"/>
          <w:lang w:val="en-US" w:eastAsia="zh-CN" w:bidi="ar-SA"/>
        </w:rPr>
        <w:t>贯彻落实党的路线、方针和政策，执行国家法律、法规及区委、区政府的决定和命令，制定并组织实施辖区内有关管理规定，加强党的建设和基层政权建设。</w:t>
      </w:r>
    </w:p>
    <w:p w14:paraId="73CFA919">
      <w:pPr>
        <w:spacing w:line="600" w:lineRule="exact"/>
        <w:ind w:firstLine="660" w:firstLineChars="200"/>
        <w:rPr>
          <w:rFonts w:hint="default" w:ascii="方正仿宋_GBK" w:hAnsi="方正仿宋_GBK" w:eastAsia="方正仿宋_GBK" w:cs="方正仿宋_GBK"/>
          <w:color w:val="auto"/>
          <w:kern w:val="2"/>
          <w:sz w:val="33"/>
          <w:szCs w:val="33"/>
          <w:shd w:val="clear" w:color="auto" w:fill="FFFFFF"/>
          <w:lang w:val="en-US" w:eastAsia="zh-CN" w:bidi="ar-SA"/>
        </w:rPr>
      </w:pPr>
      <w:r>
        <w:rPr>
          <w:rFonts w:hint="eastAsia" w:ascii="方正仿宋_GBK" w:hAnsi="方正仿宋_GBK" w:eastAsia="方正仿宋_GBK" w:cs="方正仿宋_GBK"/>
          <w:color w:val="auto"/>
          <w:kern w:val="2"/>
          <w:sz w:val="33"/>
          <w:szCs w:val="33"/>
          <w:shd w:val="clear" w:color="auto" w:fill="FFFFFF"/>
          <w:lang w:val="en-US" w:eastAsia="zh-CN" w:bidi="ar-SA"/>
        </w:rPr>
        <w:t>2.</w:t>
      </w:r>
      <w:r>
        <w:rPr>
          <w:rFonts w:hint="default" w:ascii="方正仿宋_GBK" w:hAnsi="方正仿宋_GBK" w:eastAsia="方正仿宋_GBK" w:cs="方正仿宋_GBK"/>
          <w:color w:val="auto"/>
          <w:kern w:val="2"/>
          <w:sz w:val="33"/>
          <w:szCs w:val="33"/>
          <w:shd w:val="clear" w:color="auto" w:fill="FFFFFF"/>
          <w:lang w:val="en-US" w:eastAsia="zh-CN" w:bidi="ar-SA"/>
        </w:rPr>
        <w:t>负责编制辖区内经济社会和建设发展规划，组织实施镇村规划建设，乡村道路修建及养护，做好农村能源建设，实施农村清洁工程，改善农村卫生条件和人居环境。</w:t>
      </w:r>
    </w:p>
    <w:p w14:paraId="15418F2A">
      <w:pPr>
        <w:spacing w:line="600" w:lineRule="exact"/>
        <w:ind w:firstLine="660" w:firstLineChars="200"/>
        <w:rPr>
          <w:rFonts w:hint="default" w:ascii="方正仿宋_GBK" w:hAnsi="方正仿宋_GBK" w:eastAsia="方正仿宋_GBK" w:cs="方正仿宋_GBK"/>
          <w:color w:val="auto"/>
          <w:kern w:val="2"/>
          <w:sz w:val="33"/>
          <w:szCs w:val="33"/>
          <w:shd w:val="clear" w:color="auto" w:fill="FFFFFF"/>
          <w:lang w:val="en-US" w:eastAsia="zh-CN" w:bidi="ar-SA"/>
        </w:rPr>
      </w:pPr>
      <w:r>
        <w:rPr>
          <w:rFonts w:hint="eastAsia" w:ascii="方正仿宋_GBK" w:hAnsi="方正仿宋_GBK" w:eastAsia="方正仿宋_GBK" w:cs="方正仿宋_GBK"/>
          <w:color w:val="auto"/>
          <w:kern w:val="2"/>
          <w:sz w:val="33"/>
          <w:szCs w:val="33"/>
          <w:shd w:val="clear" w:color="auto" w:fill="FFFFFF"/>
          <w:lang w:val="en-US" w:eastAsia="zh-CN" w:bidi="ar-SA"/>
        </w:rPr>
        <w:t>3.</w:t>
      </w:r>
      <w:r>
        <w:rPr>
          <w:rFonts w:hint="default" w:ascii="方正仿宋_GBK" w:hAnsi="方正仿宋_GBK" w:eastAsia="方正仿宋_GBK" w:cs="方正仿宋_GBK"/>
          <w:color w:val="auto"/>
          <w:kern w:val="2"/>
          <w:sz w:val="33"/>
          <w:szCs w:val="33"/>
          <w:shd w:val="clear" w:color="auto" w:fill="FFFFFF"/>
          <w:lang w:val="en-US" w:eastAsia="zh-CN" w:bidi="ar-SA"/>
        </w:rPr>
        <w:t>促进农村经济发展，组织农民学习实用技术，指导建设主导产业示范点，加快产业结构调整，促进经济发展方式转变，落实惠农政策，增加农民收入，提高人民生活水平。</w:t>
      </w:r>
    </w:p>
    <w:p w14:paraId="546A5E9C">
      <w:pPr>
        <w:spacing w:line="600" w:lineRule="exact"/>
        <w:ind w:firstLine="660" w:firstLineChars="200"/>
        <w:rPr>
          <w:rFonts w:hint="default" w:ascii="方正仿宋_GBK" w:hAnsi="方正仿宋_GBK" w:eastAsia="方正仿宋_GBK" w:cs="方正仿宋_GBK"/>
          <w:color w:val="auto"/>
          <w:kern w:val="2"/>
          <w:sz w:val="33"/>
          <w:szCs w:val="33"/>
          <w:shd w:val="clear" w:color="auto" w:fill="FFFFFF"/>
          <w:lang w:val="en-US" w:eastAsia="zh-CN" w:bidi="ar-SA"/>
        </w:rPr>
      </w:pPr>
      <w:r>
        <w:rPr>
          <w:rFonts w:hint="eastAsia" w:ascii="方正仿宋_GBK" w:hAnsi="方正仿宋_GBK" w:eastAsia="方正仿宋_GBK" w:cs="方正仿宋_GBK"/>
          <w:color w:val="auto"/>
          <w:kern w:val="2"/>
          <w:sz w:val="33"/>
          <w:szCs w:val="33"/>
          <w:shd w:val="clear" w:color="auto" w:fill="FFFFFF"/>
          <w:lang w:val="en-US" w:eastAsia="zh-CN" w:bidi="ar-SA"/>
        </w:rPr>
        <w:t>4.</w:t>
      </w:r>
      <w:r>
        <w:rPr>
          <w:rFonts w:hint="default" w:ascii="方正仿宋_GBK" w:hAnsi="方正仿宋_GBK" w:eastAsia="方正仿宋_GBK" w:cs="方正仿宋_GBK"/>
          <w:color w:val="auto"/>
          <w:kern w:val="2"/>
          <w:sz w:val="33"/>
          <w:szCs w:val="33"/>
          <w:shd w:val="clear" w:color="auto" w:fill="FFFFFF"/>
          <w:lang w:val="en-US" w:eastAsia="zh-CN" w:bidi="ar-SA"/>
        </w:rPr>
        <w:t>配合相关部门做好耕地保护、防汛抗旱、动植物防疫、农产品和水产品质量安全工作。</w:t>
      </w:r>
    </w:p>
    <w:p w14:paraId="03536655">
      <w:pPr>
        <w:spacing w:line="600" w:lineRule="exact"/>
        <w:ind w:firstLine="660" w:firstLineChars="200"/>
        <w:rPr>
          <w:rFonts w:hint="default" w:ascii="方正仿宋_GBK" w:hAnsi="方正仿宋_GBK" w:eastAsia="方正仿宋_GBK" w:cs="方正仿宋_GBK"/>
          <w:color w:val="auto"/>
          <w:kern w:val="2"/>
          <w:sz w:val="33"/>
          <w:szCs w:val="33"/>
          <w:shd w:val="clear" w:color="auto" w:fill="FFFFFF"/>
          <w:lang w:val="en-US" w:eastAsia="zh-CN" w:bidi="ar-SA"/>
        </w:rPr>
      </w:pPr>
      <w:r>
        <w:rPr>
          <w:rFonts w:hint="eastAsia" w:ascii="方正仿宋_GBK" w:hAnsi="方正仿宋_GBK" w:eastAsia="方正仿宋_GBK" w:cs="方正仿宋_GBK"/>
          <w:color w:val="auto"/>
          <w:kern w:val="2"/>
          <w:sz w:val="33"/>
          <w:szCs w:val="33"/>
          <w:shd w:val="clear" w:color="auto" w:fill="FFFFFF"/>
          <w:lang w:val="en-US" w:eastAsia="zh-CN" w:bidi="ar-SA"/>
        </w:rPr>
        <w:t>5.</w:t>
      </w:r>
      <w:r>
        <w:rPr>
          <w:rFonts w:hint="default" w:ascii="方正仿宋_GBK" w:hAnsi="方正仿宋_GBK" w:eastAsia="方正仿宋_GBK" w:cs="方正仿宋_GBK"/>
          <w:color w:val="auto"/>
          <w:kern w:val="2"/>
          <w:sz w:val="33"/>
          <w:szCs w:val="33"/>
          <w:shd w:val="clear" w:color="auto" w:fill="FFFFFF"/>
          <w:lang w:val="en-US" w:eastAsia="zh-CN" w:bidi="ar-SA"/>
        </w:rPr>
        <w:t>负责土地承包合同的管理工作。</w:t>
      </w:r>
    </w:p>
    <w:p w14:paraId="7890A91E">
      <w:pPr>
        <w:spacing w:line="600" w:lineRule="exact"/>
        <w:ind w:firstLine="660" w:firstLineChars="200"/>
        <w:rPr>
          <w:rFonts w:hint="default" w:ascii="方正仿宋_GBK" w:hAnsi="方正仿宋_GBK" w:eastAsia="方正仿宋_GBK" w:cs="方正仿宋_GBK"/>
          <w:color w:val="auto"/>
          <w:kern w:val="2"/>
          <w:sz w:val="33"/>
          <w:szCs w:val="33"/>
          <w:shd w:val="clear" w:color="auto" w:fill="FFFFFF"/>
          <w:lang w:val="en-US" w:eastAsia="zh-CN" w:bidi="ar-SA"/>
        </w:rPr>
      </w:pPr>
      <w:r>
        <w:rPr>
          <w:rFonts w:hint="eastAsia" w:ascii="方正仿宋_GBK" w:hAnsi="方正仿宋_GBK" w:eastAsia="方正仿宋_GBK" w:cs="方正仿宋_GBK"/>
          <w:color w:val="auto"/>
          <w:kern w:val="2"/>
          <w:sz w:val="33"/>
          <w:szCs w:val="33"/>
          <w:shd w:val="clear" w:color="auto" w:fill="FFFFFF"/>
          <w:lang w:val="en-US" w:eastAsia="zh-CN" w:bidi="ar-SA"/>
        </w:rPr>
        <w:t>6.</w:t>
      </w:r>
      <w:r>
        <w:rPr>
          <w:rFonts w:hint="default" w:ascii="方正仿宋_GBK" w:hAnsi="方正仿宋_GBK" w:eastAsia="方正仿宋_GBK" w:cs="方正仿宋_GBK"/>
          <w:color w:val="auto"/>
          <w:kern w:val="2"/>
          <w:sz w:val="33"/>
          <w:szCs w:val="33"/>
          <w:shd w:val="clear" w:color="auto" w:fill="FFFFFF"/>
          <w:lang w:val="en-US" w:eastAsia="zh-CN" w:bidi="ar-SA"/>
        </w:rPr>
        <w:t>做好外出务工人员培训工作，引导农民多渠道就业。</w:t>
      </w:r>
    </w:p>
    <w:p w14:paraId="043ADBDA">
      <w:pPr>
        <w:spacing w:line="600" w:lineRule="exact"/>
        <w:ind w:firstLine="660" w:firstLineChars="200"/>
        <w:rPr>
          <w:rFonts w:hint="default" w:ascii="方正仿宋_GBK" w:hAnsi="方正仿宋_GBK" w:eastAsia="方正仿宋_GBK" w:cs="方正仿宋_GBK"/>
          <w:color w:val="auto"/>
          <w:kern w:val="2"/>
          <w:sz w:val="33"/>
          <w:szCs w:val="33"/>
          <w:shd w:val="clear" w:color="auto" w:fill="FFFFFF"/>
          <w:lang w:val="en-US" w:eastAsia="zh-CN" w:bidi="ar-SA"/>
        </w:rPr>
      </w:pPr>
      <w:r>
        <w:rPr>
          <w:rFonts w:hint="eastAsia" w:ascii="方正仿宋_GBK" w:hAnsi="方正仿宋_GBK" w:eastAsia="方正仿宋_GBK" w:cs="方正仿宋_GBK"/>
          <w:color w:val="auto"/>
          <w:kern w:val="2"/>
          <w:sz w:val="33"/>
          <w:szCs w:val="33"/>
          <w:shd w:val="clear" w:color="auto" w:fill="FFFFFF"/>
          <w:lang w:val="en-US" w:eastAsia="zh-CN" w:bidi="ar-SA"/>
        </w:rPr>
        <w:t>7.</w:t>
      </w:r>
      <w:r>
        <w:rPr>
          <w:rFonts w:hint="default" w:ascii="方正仿宋_GBK" w:hAnsi="方正仿宋_GBK" w:eastAsia="方正仿宋_GBK" w:cs="方正仿宋_GBK"/>
          <w:color w:val="auto"/>
          <w:kern w:val="2"/>
          <w:sz w:val="33"/>
          <w:szCs w:val="33"/>
          <w:shd w:val="clear" w:color="auto" w:fill="FFFFFF"/>
          <w:lang w:val="en-US" w:eastAsia="zh-CN" w:bidi="ar-SA"/>
        </w:rPr>
        <w:t>配合相关部门做好农村义务教育、计划生育工作和基本医疗体系建设工作。会同社会保障、民政等部门做好防灾减灾、五保供养、优抚安置、扶贫救济、低保、新型农村养老保险、农村合作医疗工作和其他社会救助工作。</w:t>
      </w:r>
    </w:p>
    <w:p w14:paraId="4D539267">
      <w:pPr>
        <w:spacing w:line="600" w:lineRule="exact"/>
        <w:ind w:firstLine="660" w:firstLineChars="200"/>
        <w:rPr>
          <w:rFonts w:hint="default" w:ascii="方正仿宋_GBK" w:hAnsi="方正仿宋_GBK" w:eastAsia="方正仿宋_GBK" w:cs="方正仿宋_GBK"/>
          <w:color w:val="auto"/>
          <w:kern w:val="2"/>
          <w:sz w:val="33"/>
          <w:szCs w:val="33"/>
          <w:shd w:val="clear" w:color="auto" w:fill="FFFFFF"/>
          <w:lang w:val="en-US" w:eastAsia="zh-CN" w:bidi="ar-SA"/>
        </w:rPr>
      </w:pPr>
      <w:r>
        <w:rPr>
          <w:rFonts w:hint="eastAsia" w:ascii="方正仿宋_GBK" w:hAnsi="方正仿宋_GBK" w:eastAsia="方正仿宋_GBK" w:cs="方正仿宋_GBK"/>
          <w:color w:val="auto"/>
          <w:kern w:val="2"/>
          <w:sz w:val="33"/>
          <w:szCs w:val="33"/>
          <w:shd w:val="clear" w:color="auto" w:fill="FFFFFF"/>
          <w:lang w:val="en-US" w:eastAsia="zh-CN" w:bidi="ar-SA"/>
        </w:rPr>
        <w:t>8.</w:t>
      </w:r>
      <w:r>
        <w:rPr>
          <w:rFonts w:hint="default" w:ascii="方正仿宋_GBK" w:hAnsi="方正仿宋_GBK" w:eastAsia="方正仿宋_GBK" w:cs="方正仿宋_GBK"/>
          <w:color w:val="auto"/>
          <w:kern w:val="2"/>
          <w:sz w:val="33"/>
          <w:szCs w:val="33"/>
          <w:shd w:val="clear" w:color="auto" w:fill="FFFFFF"/>
          <w:lang w:val="en-US" w:eastAsia="zh-CN" w:bidi="ar-SA"/>
        </w:rPr>
        <w:t>协助相关部门做好辖区内安全生产、防火防汛、市场监管、劳动监察、环境保护、食品安全等工作。</w:t>
      </w:r>
    </w:p>
    <w:p w14:paraId="0189DB16">
      <w:pPr>
        <w:spacing w:line="600" w:lineRule="exact"/>
        <w:ind w:firstLine="660" w:firstLineChars="200"/>
        <w:rPr>
          <w:rFonts w:hint="default" w:ascii="方正仿宋_GBK" w:hAnsi="方正仿宋_GBK" w:eastAsia="方正仿宋_GBK" w:cs="方正仿宋_GBK"/>
          <w:color w:val="auto"/>
          <w:kern w:val="2"/>
          <w:sz w:val="33"/>
          <w:szCs w:val="33"/>
          <w:shd w:val="clear" w:color="auto" w:fill="FFFFFF"/>
          <w:lang w:val="en-US" w:eastAsia="zh-CN" w:bidi="ar-SA"/>
        </w:rPr>
      </w:pPr>
      <w:r>
        <w:rPr>
          <w:rFonts w:hint="eastAsia" w:ascii="方正仿宋_GBK" w:hAnsi="方正仿宋_GBK" w:eastAsia="方正仿宋_GBK" w:cs="方正仿宋_GBK"/>
          <w:color w:val="auto"/>
          <w:kern w:val="2"/>
          <w:sz w:val="33"/>
          <w:szCs w:val="33"/>
          <w:shd w:val="clear" w:color="auto" w:fill="FFFFFF"/>
          <w:lang w:val="en-US" w:eastAsia="zh-CN" w:bidi="ar-SA"/>
        </w:rPr>
        <w:t>9.</w:t>
      </w:r>
      <w:r>
        <w:rPr>
          <w:rFonts w:hint="default" w:ascii="方正仿宋_GBK" w:hAnsi="方正仿宋_GBK" w:eastAsia="方正仿宋_GBK" w:cs="方正仿宋_GBK"/>
          <w:color w:val="auto"/>
          <w:kern w:val="2"/>
          <w:sz w:val="33"/>
          <w:szCs w:val="33"/>
          <w:shd w:val="clear" w:color="auto" w:fill="FFFFFF"/>
          <w:lang w:val="en-US" w:eastAsia="zh-CN" w:bidi="ar-SA"/>
        </w:rPr>
        <w:t>负责辖区内精神文明建设，组织群众性文化、体育和各类教育活动。</w:t>
      </w:r>
    </w:p>
    <w:p w14:paraId="1CA0C8D2">
      <w:pPr>
        <w:spacing w:line="600" w:lineRule="exact"/>
        <w:ind w:firstLine="660" w:firstLineChars="200"/>
        <w:rPr>
          <w:rFonts w:hint="default" w:ascii="方正仿宋_GBK" w:hAnsi="方正仿宋_GBK" w:eastAsia="方正仿宋_GBK" w:cs="方正仿宋_GBK"/>
          <w:color w:val="auto"/>
          <w:kern w:val="2"/>
          <w:sz w:val="33"/>
          <w:szCs w:val="33"/>
          <w:shd w:val="clear" w:color="auto" w:fill="FFFFFF"/>
          <w:lang w:val="en-US" w:eastAsia="zh-CN" w:bidi="ar-SA"/>
        </w:rPr>
      </w:pPr>
      <w:r>
        <w:rPr>
          <w:rFonts w:hint="eastAsia" w:ascii="方正仿宋_GBK" w:hAnsi="方正仿宋_GBK" w:eastAsia="方正仿宋_GBK" w:cs="方正仿宋_GBK"/>
          <w:color w:val="auto"/>
          <w:kern w:val="2"/>
          <w:sz w:val="33"/>
          <w:szCs w:val="33"/>
          <w:shd w:val="clear" w:color="auto" w:fill="FFFFFF"/>
          <w:lang w:val="en-US" w:eastAsia="zh-CN" w:bidi="ar-SA"/>
        </w:rPr>
        <w:t>10.</w:t>
      </w:r>
      <w:r>
        <w:rPr>
          <w:rFonts w:hint="default" w:ascii="方正仿宋_GBK" w:hAnsi="方正仿宋_GBK" w:eastAsia="方正仿宋_GBK" w:cs="方正仿宋_GBK"/>
          <w:color w:val="auto"/>
          <w:kern w:val="2"/>
          <w:sz w:val="33"/>
          <w:szCs w:val="33"/>
          <w:shd w:val="clear" w:color="auto" w:fill="FFFFFF"/>
          <w:lang w:val="en-US" w:eastAsia="zh-CN" w:bidi="ar-SA"/>
        </w:rPr>
        <w:t>加强社会治安综合治理，化解各种社会矛盾，维护社会和谐稳定。建立健全农村应急管理体制，提高危机处理能力。</w:t>
      </w:r>
    </w:p>
    <w:p w14:paraId="3CC86728">
      <w:pPr>
        <w:spacing w:line="600" w:lineRule="exact"/>
        <w:ind w:firstLine="660" w:firstLineChars="200"/>
        <w:rPr>
          <w:rFonts w:hint="default" w:ascii="方正仿宋_GBK" w:hAnsi="方正仿宋_GBK" w:eastAsia="方正仿宋_GBK" w:cs="方正仿宋_GBK"/>
          <w:color w:val="auto"/>
          <w:kern w:val="2"/>
          <w:sz w:val="33"/>
          <w:szCs w:val="33"/>
          <w:shd w:val="clear" w:color="auto" w:fill="FFFFFF"/>
          <w:lang w:val="en-US" w:eastAsia="zh-CN" w:bidi="ar-SA"/>
        </w:rPr>
      </w:pPr>
      <w:r>
        <w:rPr>
          <w:rFonts w:hint="eastAsia" w:ascii="方正仿宋_GBK" w:hAnsi="方正仿宋_GBK" w:eastAsia="方正仿宋_GBK" w:cs="方正仿宋_GBK"/>
          <w:color w:val="auto"/>
          <w:kern w:val="2"/>
          <w:sz w:val="33"/>
          <w:szCs w:val="33"/>
          <w:shd w:val="clear" w:color="auto" w:fill="FFFFFF"/>
          <w:lang w:val="en-US" w:eastAsia="zh-CN" w:bidi="ar-SA"/>
        </w:rPr>
        <w:t>11.</w:t>
      </w:r>
      <w:r>
        <w:rPr>
          <w:rFonts w:hint="default" w:ascii="方正仿宋_GBK" w:hAnsi="方正仿宋_GBK" w:eastAsia="方正仿宋_GBK" w:cs="方正仿宋_GBK"/>
          <w:color w:val="auto"/>
          <w:kern w:val="2"/>
          <w:sz w:val="33"/>
          <w:szCs w:val="33"/>
          <w:shd w:val="clear" w:color="auto" w:fill="FFFFFF"/>
          <w:lang w:val="en-US" w:eastAsia="zh-CN" w:bidi="ar-SA"/>
        </w:rPr>
        <w:t>负责党团组织建设、村级组织建设、党员队伍建设、党风廉政建设及人大、群团、国防教育、兵役、民兵等工作。指导村民自治、完善民主议事制度，推进村务公开、财务公开。</w:t>
      </w:r>
    </w:p>
    <w:p w14:paraId="0F8F89B7">
      <w:pPr>
        <w:spacing w:line="600" w:lineRule="exact"/>
        <w:ind w:firstLine="660" w:firstLineChars="200"/>
        <w:rPr>
          <w:rFonts w:hint="default" w:ascii="方正仿宋_GBK" w:hAnsi="方正仿宋_GBK" w:eastAsia="方正仿宋_GBK" w:cs="方正仿宋_GBK"/>
          <w:color w:val="auto"/>
          <w:kern w:val="2"/>
          <w:sz w:val="33"/>
          <w:szCs w:val="33"/>
          <w:shd w:val="clear" w:color="auto" w:fill="FFFFFF"/>
          <w:lang w:val="en-US" w:eastAsia="zh-CN" w:bidi="ar-SA"/>
        </w:rPr>
      </w:pPr>
      <w:r>
        <w:rPr>
          <w:rFonts w:hint="eastAsia" w:ascii="方正仿宋_GBK" w:hAnsi="方正仿宋_GBK" w:eastAsia="方正仿宋_GBK" w:cs="方正仿宋_GBK"/>
          <w:color w:val="auto"/>
          <w:kern w:val="2"/>
          <w:sz w:val="33"/>
          <w:szCs w:val="33"/>
          <w:shd w:val="clear" w:color="auto" w:fill="FFFFFF"/>
          <w:lang w:val="en-US" w:eastAsia="zh-CN" w:bidi="ar-SA"/>
        </w:rPr>
        <w:t>12.</w:t>
      </w:r>
      <w:r>
        <w:rPr>
          <w:rFonts w:hint="default" w:ascii="方正仿宋_GBK" w:hAnsi="方正仿宋_GBK" w:eastAsia="方正仿宋_GBK" w:cs="方正仿宋_GBK"/>
          <w:color w:val="auto"/>
          <w:kern w:val="2"/>
          <w:sz w:val="33"/>
          <w:szCs w:val="33"/>
          <w:shd w:val="clear" w:color="auto" w:fill="FFFFFF"/>
          <w:lang w:val="en-US" w:eastAsia="zh-CN" w:bidi="ar-SA"/>
        </w:rPr>
        <w:t>按规定权限和程序，配合相关部门管理辖区内的规划管理、城镇管理、拆迁和开发等工作。</w:t>
      </w:r>
    </w:p>
    <w:p w14:paraId="7483278C">
      <w:pPr>
        <w:spacing w:line="600" w:lineRule="exact"/>
        <w:ind w:firstLine="660" w:firstLineChars="200"/>
        <w:rPr>
          <w:rFonts w:hint="default" w:ascii="方正仿宋_GBK" w:hAnsi="方正仿宋_GBK" w:eastAsia="方正仿宋_GBK" w:cs="方正仿宋_GBK"/>
          <w:color w:val="auto"/>
          <w:kern w:val="2"/>
          <w:sz w:val="33"/>
          <w:szCs w:val="33"/>
          <w:shd w:val="clear" w:color="auto" w:fill="FFFFFF"/>
          <w:lang w:val="en-US" w:eastAsia="zh-CN" w:bidi="ar-SA"/>
        </w:rPr>
      </w:pPr>
      <w:r>
        <w:rPr>
          <w:rFonts w:hint="eastAsia" w:ascii="方正仿宋_GBK" w:hAnsi="方正仿宋_GBK" w:eastAsia="方正仿宋_GBK" w:cs="方正仿宋_GBK"/>
          <w:color w:val="auto"/>
          <w:kern w:val="2"/>
          <w:sz w:val="33"/>
          <w:szCs w:val="33"/>
          <w:shd w:val="clear" w:color="auto" w:fill="FFFFFF"/>
          <w:lang w:val="en-US" w:eastAsia="zh-CN" w:bidi="ar-SA"/>
        </w:rPr>
        <w:t>13.</w:t>
      </w:r>
      <w:r>
        <w:rPr>
          <w:rFonts w:hint="default" w:ascii="方正仿宋_GBK" w:hAnsi="方正仿宋_GBK" w:eastAsia="方正仿宋_GBK" w:cs="方正仿宋_GBK"/>
          <w:color w:val="auto"/>
          <w:kern w:val="2"/>
          <w:sz w:val="33"/>
          <w:szCs w:val="33"/>
          <w:shd w:val="clear" w:color="auto" w:fill="FFFFFF"/>
          <w:lang w:val="en-US" w:eastAsia="zh-CN" w:bidi="ar-SA"/>
        </w:rPr>
        <w:t>负责优化辖区投资环境，招商引资，按规定权限和程序审批审核投资项目。</w:t>
      </w:r>
    </w:p>
    <w:p w14:paraId="1BDFACCE">
      <w:pPr>
        <w:spacing w:line="600" w:lineRule="exact"/>
        <w:ind w:firstLine="660" w:firstLineChars="200"/>
        <w:rPr>
          <w:rFonts w:hint="default" w:ascii="方正仿宋_GBK" w:hAnsi="方正仿宋_GBK" w:eastAsia="方正仿宋_GBK" w:cs="方正仿宋_GBK"/>
          <w:color w:val="auto"/>
          <w:kern w:val="2"/>
          <w:sz w:val="33"/>
          <w:szCs w:val="33"/>
          <w:shd w:val="clear" w:color="auto" w:fill="FFFFFF"/>
          <w:lang w:val="en-US" w:eastAsia="zh-CN" w:bidi="ar-SA"/>
        </w:rPr>
      </w:pPr>
      <w:r>
        <w:rPr>
          <w:rFonts w:hint="eastAsia" w:ascii="方正仿宋_GBK" w:hAnsi="方正仿宋_GBK" w:eastAsia="方正仿宋_GBK" w:cs="方正仿宋_GBK"/>
          <w:color w:val="auto"/>
          <w:kern w:val="2"/>
          <w:sz w:val="33"/>
          <w:szCs w:val="33"/>
          <w:shd w:val="clear" w:color="auto" w:fill="FFFFFF"/>
          <w:lang w:val="en-US" w:eastAsia="zh-CN" w:bidi="ar-SA"/>
        </w:rPr>
        <w:t>14.</w:t>
      </w:r>
      <w:r>
        <w:rPr>
          <w:rFonts w:hint="default" w:ascii="方正仿宋_GBK" w:hAnsi="方正仿宋_GBK" w:eastAsia="方正仿宋_GBK" w:cs="方正仿宋_GBK"/>
          <w:color w:val="auto"/>
          <w:kern w:val="2"/>
          <w:sz w:val="33"/>
          <w:szCs w:val="33"/>
          <w:shd w:val="clear" w:color="auto" w:fill="FFFFFF"/>
          <w:lang w:val="en-US" w:eastAsia="zh-CN" w:bidi="ar-SA"/>
        </w:rPr>
        <w:t>承办区委、区政府交办的其他事项。</w:t>
      </w:r>
    </w:p>
    <w:p w14:paraId="606946C5">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w:t>
      </w:r>
      <w:r>
        <w:rPr>
          <w:rFonts w:hint="eastAsia" w:ascii="Times New Roman" w:hAnsi="Times New Roman" w:eastAsia="楷体_GB2312" w:cs="Times New Roman"/>
          <w:b/>
          <w:sz w:val="32"/>
          <w:szCs w:val="32"/>
          <w:highlight w:val="none"/>
          <w:lang w:eastAsia="zh-CN"/>
        </w:rPr>
        <w:t>观塘镇2025</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重点工作。</w:t>
      </w:r>
    </w:p>
    <w:p w14:paraId="7D731CB0">
      <w:pPr>
        <w:keepNext w:val="0"/>
        <w:keepLines w:val="0"/>
        <w:pageBreakBefore w:val="0"/>
        <w:widowControl w:val="0"/>
        <w:kinsoku/>
        <w:wordWrap/>
        <w:overflowPunct/>
        <w:topLinePunct w:val="0"/>
        <w:autoSpaceDE/>
        <w:autoSpaceDN/>
        <w:bidi w:val="0"/>
        <w:adjustRightInd/>
        <w:spacing w:line="590" w:lineRule="exact"/>
        <w:ind w:firstLine="675"/>
        <w:textAlignment w:val="auto"/>
        <w:rPr>
          <w:rFonts w:hint="eastAsia" w:ascii="Times New Roman" w:hAnsi="Times New Roman" w:eastAsia="方正楷体_GBK" w:cs="Times New Roman"/>
          <w:b/>
          <w:bCs/>
          <w:color w:val="000000"/>
          <w:kern w:val="2"/>
          <w:sz w:val="33"/>
          <w:szCs w:val="33"/>
          <w:lang w:val="en-US" w:eastAsia="zh-CN" w:bidi="ar-SA"/>
        </w:rPr>
      </w:pPr>
      <w:r>
        <w:rPr>
          <w:rFonts w:hint="default" w:ascii="Times New Roman" w:hAnsi="Times New Roman" w:eastAsia="方正楷体_GBK" w:cs="Times New Roman"/>
          <w:b/>
          <w:color w:val="auto"/>
          <w:kern w:val="2"/>
          <w:sz w:val="33"/>
          <w:szCs w:val="33"/>
          <w:lang w:val="en-US" w:eastAsia="zh-CN" w:bidi="ar-SA"/>
        </w:rPr>
        <w:t>一是</w:t>
      </w:r>
      <w:r>
        <w:rPr>
          <w:rFonts w:hint="eastAsia" w:eastAsia="方正楷体_GBK" w:cs="Times New Roman"/>
          <w:b/>
          <w:color w:val="auto"/>
          <w:kern w:val="2"/>
          <w:sz w:val="33"/>
          <w:szCs w:val="33"/>
          <w:lang w:val="en-US" w:eastAsia="zh-CN" w:bidi="ar-SA"/>
        </w:rPr>
        <w:t>深化管党治党</w:t>
      </w:r>
      <w:r>
        <w:rPr>
          <w:rFonts w:hint="default" w:ascii="Times New Roman" w:hAnsi="Times New Roman" w:eastAsia="方正楷体_GBK" w:cs="Times New Roman"/>
          <w:b/>
          <w:color w:val="auto"/>
          <w:kern w:val="2"/>
          <w:sz w:val="33"/>
          <w:szCs w:val="33"/>
          <w:lang w:val="en-US" w:eastAsia="zh-CN" w:bidi="ar-SA"/>
        </w:rPr>
        <w:t>。</w:t>
      </w:r>
      <w:r>
        <w:rPr>
          <w:rFonts w:hint="eastAsia" w:ascii="Times New Roman" w:hAnsi="Times New Roman" w:eastAsia="方正仿宋_GBK"/>
          <w:bCs/>
          <w:color w:val="000000"/>
          <w:sz w:val="33"/>
          <w:szCs w:val="33"/>
        </w:rPr>
        <w:t>始终坚持用党的最新理论成果武装党员干部头脑，</w:t>
      </w:r>
      <w:r>
        <w:rPr>
          <w:rFonts w:hint="default" w:ascii="Times New Roman" w:hAnsi="Times New Roman" w:eastAsia="方正仿宋_GBK" w:cs="Times New Roman"/>
          <w:color w:val="auto"/>
          <w:kern w:val="2"/>
          <w:sz w:val="33"/>
          <w:szCs w:val="33"/>
          <w:lang w:val="en-US" w:eastAsia="zh-CN" w:bidi="ar-SA"/>
        </w:rPr>
        <w:t>抓实</w:t>
      </w:r>
      <w:r>
        <w:rPr>
          <w:rFonts w:hint="eastAsia" w:eastAsia="方正仿宋_GBK" w:cs="Times New Roman"/>
          <w:color w:val="auto"/>
          <w:kern w:val="2"/>
          <w:sz w:val="33"/>
          <w:szCs w:val="33"/>
          <w:lang w:val="en-US" w:eastAsia="zh-CN" w:bidi="ar-SA"/>
        </w:rPr>
        <w:t>抓细党的二十届三中全会精神学习宣传</w:t>
      </w:r>
      <w:r>
        <w:rPr>
          <w:rFonts w:hint="default" w:ascii="Times New Roman" w:hAnsi="Times New Roman" w:eastAsia="方正仿宋_GBK" w:cs="Times New Roman"/>
          <w:color w:val="auto"/>
          <w:kern w:val="2"/>
          <w:sz w:val="33"/>
          <w:szCs w:val="33"/>
          <w:lang w:val="en-US" w:eastAsia="zh-CN" w:bidi="ar-SA"/>
        </w:rPr>
        <w:t>教育</w:t>
      </w:r>
      <w:r>
        <w:rPr>
          <w:rFonts w:hint="eastAsia" w:ascii="Times New Roman" w:hAnsi="Times New Roman" w:eastAsia="方正仿宋_GBK"/>
          <w:bCs/>
          <w:color w:val="000000"/>
          <w:sz w:val="33"/>
          <w:szCs w:val="33"/>
          <w:lang w:eastAsia="zh-CN"/>
        </w:rPr>
        <w:t>。</w:t>
      </w:r>
      <w:r>
        <w:rPr>
          <w:rFonts w:hint="default" w:ascii="Times New Roman" w:hAnsi="Times New Roman" w:eastAsia="方正仿宋_GBK" w:cs="Times New Roman"/>
          <w:color w:val="auto"/>
          <w:kern w:val="2"/>
          <w:sz w:val="33"/>
          <w:szCs w:val="33"/>
          <w:lang w:val="en-US" w:eastAsia="zh-CN" w:bidi="ar-SA"/>
        </w:rPr>
        <w:t>加大村级后备干部培养，</w:t>
      </w:r>
      <w:r>
        <w:rPr>
          <w:rFonts w:hint="eastAsia" w:ascii="Times New Roman" w:hAnsi="Times New Roman" w:eastAsia="方正仿宋_GBK"/>
          <w:color w:val="000000"/>
          <w:kern w:val="0"/>
          <w:sz w:val="33"/>
          <w:szCs w:val="33"/>
          <w:lang w:eastAsia="zh-CN"/>
        </w:rPr>
        <w:t>发掘</w:t>
      </w:r>
      <w:r>
        <w:rPr>
          <w:rFonts w:hint="eastAsia" w:ascii="Times New Roman" w:hAnsi="Times New Roman" w:eastAsia="方正仿宋_GBK"/>
          <w:color w:val="000000"/>
          <w:kern w:val="0"/>
          <w:sz w:val="33"/>
          <w:szCs w:val="33"/>
        </w:rPr>
        <w:t>致富能手、优秀青年等人才进入</w:t>
      </w:r>
      <w:r>
        <w:rPr>
          <w:rFonts w:hint="eastAsia" w:ascii="Times New Roman" w:hAnsi="Times New Roman" w:eastAsia="方正仿宋_GBK"/>
          <w:color w:val="000000"/>
          <w:kern w:val="0"/>
          <w:sz w:val="33"/>
          <w:szCs w:val="33"/>
          <w:lang w:eastAsia="zh-CN"/>
        </w:rPr>
        <w:t>村</w:t>
      </w:r>
      <w:r>
        <w:rPr>
          <w:rFonts w:hint="eastAsia" w:eastAsia="方正仿宋_GBK"/>
          <w:color w:val="000000"/>
          <w:kern w:val="0"/>
          <w:sz w:val="33"/>
          <w:szCs w:val="33"/>
          <w:lang w:eastAsia="zh-CN"/>
        </w:rPr>
        <w:t>（社）</w:t>
      </w:r>
      <w:r>
        <w:rPr>
          <w:rFonts w:hint="eastAsia" w:ascii="Times New Roman" w:hAnsi="Times New Roman" w:eastAsia="方正仿宋_GBK"/>
          <w:color w:val="000000"/>
          <w:kern w:val="0"/>
          <w:sz w:val="33"/>
          <w:szCs w:val="33"/>
          <w:lang w:eastAsia="zh-CN"/>
        </w:rPr>
        <w:t>干部和党员</w:t>
      </w:r>
      <w:r>
        <w:rPr>
          <w:rFonts w:hint="eastAsia" w:ascii="Times New Roman" w:hAnsi="Times New Roman" w:eastAsia="方正仿宋_GBK"/>
          <w:color w:val="000000"/>
          <w:kern w:val="0"/>
          <w:sz w:val="33"/>
          <w:szCs w:val="33"/>
        </w:rPr>
        <w:t>队伍</w:t>
      </w:r>
      <w:r>
        <w:rPr>
          <w:rFonts w:hint="eastAsia" w:ascii="Times New Roman" w:hAnsi="Times New Roman" w:eastAsia="方正仿宋_GBK"/>
          <w:color w:val="000000"/>
          <w:kern w:val="0"/>
          <w:sz w:val="33"/>
          <w:szCs w:val="33"/>
          <w:lang w:eastAsia="zh-CN"/>
        </w:rPr>
        <w:t>。</w:t>
      </w:r>
      <w:r>
        <w:rPr>
          <w:rFonts w:hint="default" w:ascii="Times New Roman" w:hAnsi="Times New Roman" w:eastAsia="方正仿宋_GBK" w:cs="Times New Roman"/>
          <w:color w:val="auto"/>
          <w:kern w:val="2"/>
          <w:sz w:val="33"/>
          <w:szCs w:val="33"/>
          <w:lang w:val="en-US" w:eastAsia="zh-CN" w:bidi="ar-SA"/>
        </w:rPr>
        <w:t>严格落实党风廉政建设</w:t>
      </w:r>
      <w:r>
        <w:rPr>
          <w:rFonts w:hint="eastAsia" w:eastAsia="方正仿宋_GBK" w:cs="Times New Roman"/>
          <w:color w:val="auto"/>
          <w:kern w:val="2"/>
          <w:sz w:val="33"/>
          <w:szCs w:val="33"/>
          <w:lang w:val="en-US" w:eastAsia="zh-CN" w:bidi="ar-SA"/>
        </w:rPr>
        <w:t>“</w:t>
      </w:r>
      <w:r>
        <w:rPr>
          <w:rFonts w:hint="default" w:ascii="Times New Roman" w:hAnsi="Times New Roman" w:eastAsia="方正仿宋_GBK" w:cs="Times New Roman"/>
          <w:color w:val="auto"/>
          <w:kern w:val="2"/>
          <w:sz w:val="33"/>
          <w:szCs w:val="33"/>
          <w:lang w:val="en-US" w:eastAsia="zh-CN" w:bidi="ar-SA"/>
        </w:rPr>
        <w:t>两个责任</w:t>
      </w:r>
      <w:r>
        <w:rPr>
          <w:rFonts w:hint="eastAsia" w:eastAsia="方正仿宋_GBK" w:cs="Times New Roman"/>
          <w:color w:val="auto"/>
          <w:kern w:val="2"/>
          <w:sz w:val="33"/>
          <w:szCs w:val="33"/>
          <w:lang w:val="en-US" w:eastAsia="zh-CN" w:bidi="ar-SA"/>
        </w:rPr>
        <w:t>”</w:t>
      </w:r>
      <w:r>
        <w:rPr>
          <w:rFonts w:hint="default" w:ascii="Times New Roman" w:hAnsi="Times New Roman" w:eastAsia="方正仿宋_GBK" w:cs="Times New Roman"/>
          <w:color w:val="auto"/>
          <w:kern w:val="2"/>
          <w:sz w:val="33"/>
          <w:szCs w:val="33"/>
          <w:lang w:val="en-US" w:eastAsia="zh-CN" w:bidi="ar-SA"/>
        </w:rPr>
        <w:t>，</w:t>
      </w:r>
      <w:r>
        <w:rPr>
          <w:rFonts w:hint="eastAsia" w:ascii="Times New Roman" w:hAnsi="Times New Roman" w:eastAsia="方正仿宋_GBK" w:cs="Times New Roman"/>
          <w:color w:val="auto"/>
          <w:kern w:val="2"/>
          <w:sz w:val="33"/>
          <w:szCs w:val="33"/>
          <w:lang w:val="en-US" w:eastAsia="zh-CN" w:bidi="ar-SA"/>
        </w:rPr>
        <w:t>始终保持严的基调抓实</w:t>
      </w:r>
      <w:r>
        <w:rPr>
          <w:rFonts w:hint="default" w:ascii="Times New Roman" w:hAnsi="Times New Roman" w:eastAsia="方正仿宋_GBK" w:cs="Times New Roman"/>
          <w:color w:val="auto"/>
          <w:kern w:val="2"/>
          <w:sz w:val="33"/>
          <w:szCs w:val="33"/>
          <w:lang w:val="en-US" w:eastAsia="zh-CN" w:bidi="ar-SA"/>
        </w:rPr>
        <w:t>正风肃纪，营造良好政治生态。</w:t>
      </w:r>
    </w:p>
    <w:p w14:paraId="2FD5A404">
      <w:pPr>
        <w:pStyle w:val="4"/>
        <w:keepNext w:val="0"/>
        <w:keepLines w:val="0"/>
        <w:pageBreakBefore w:val="0"/>
        <w:widowControl w:val="0"/>
        <w:kinsoku/>
        <w:wordWrap/>
        <w:overflowPunct/>
        <w:topLinePunct w:val="0"/>
        <w:autoSpaceDE w:val="0"/>
        <w:autoSpaceDN/>
        <w:bidi w:val="0"/>
        <w:adjustRightInd/>
        <w:spacing w:line="590" w:lineRule="exact"/>
        <w:ind w:firstLine="660"/>
        <w:rPr>
          <w:rFonts w:hint="eastAsia" w:ascii="方正楷体_GBK" w:hAnsi="方正楷体_GBK" w:eastAsia="方正楷体_GBK" w:cs="方正楷体_GBK"/>
          <w:b/>
          <w:bCs/>
          <w:color w:val="000000"/>
          <w:kern w:val="0"/>
          <w:sz w:val="33"/>
          <w:szCs w:val="33"/>
          <w:lang w:val="en-US" w:eastAsia="zh-CN" w:bidi="ar-SA"/>
        </w:rPr>
      </w:pPr>
      <w:r>
        <w:rPr>
          <w:rFonts w:hint="eastAsia" w:ascii="方正楷体_GBK" w:hAnsi="方正楷体_GBK" w:eastAsia="方正楷体_GBK" w:cs="方正楷体_GBK"/>
          <w:b/>
          <w:bCs/>
          <w:color w:val="000000"/>
          <w:kern w:val="0"/>
          <w:sz w:val="33"/>
          <w:szCs w:val="33"/>
          <w:lang w:val="en-US" w:eastAsia="zh-CN" w:bidi="ar-SA"/>
        </w:rPr>
        <w:t>二是壮大集体经济。</w:t>
      </w:r>
      <w:r>
        <w:rPr>
          <w:rFonts w:hint="eastAsia" w:ascii="方正仿宋_GBK" w:hAnsi="方正仿宋_GBK" w:eastAsia="方正仿宋_GBK" w:cs="方正仿宋_GBK"/>
          <w:lang w:val="en-US" w:eastAsia="zh-CN"/>
        </w:rPr>
        <w:t>坚持“粮油为主、农特为特色”的农旅融合发展思路，聚全镇之力推进耕地流出恢复、撂荒地整治，全力建设新时代“天府粮仓”。积极探索操作性强、风险低、收益稳定的集体经济发展模式，大力发展川穹种植、鱼蛙养殖等集体产业，深入推进“富民车间”建设，多渠道推动集体经济持续壮大提质。</w:t>
      </w:r>
    </w:p>
    <w:p w14:paraId="5AED03BB">
      <w:pPr>
        <w:pStyle w:val="4"/>
        <w:keepNext w:val="0"/>
        <w:keepLines w:val="0"/>
        <w:pageBreakBefore w:val="0"/>
        <w:widowControl w:val="0"/>
        <w:kinsoku/>
        <w:wordWrap/>
        <w:overflowPunct/>
        <w:topLinePunct w:val="0"/>
        <w:autoSpaceDE w:val="0"/>
        <w:autoSpaceDN/>
        <w:bidi w:val="0"/>
        <w:adjustRightInd/>
        <w:spacing w:line="590" w:lineRule="exact"/>
        <w:ind w:firstLine="660"/>
        <w:rPr>
          <w:rFonts w:hint="eastAsia" w:eastAsia="方正仿宋_GBK" w:cs="Times New Roman"/>
          <w:color w:val="000000"/>
          <w:kern w:val="0"/>
          <w:sz w:val="33"/>
          <w:szCs w:val="33"/>
        </w:rPr>
      </w:pPr>
      <w:r>
        <w:rPr>
          <w:rFonts w:hint="eastAsia" w:ascii="方正楷体_GBK" w:hAnsi="方正楷体_GBK" w:eastAsia="方正楷体_GBK" w:cs="方正楷体_GBK"/>
          <w:b/>
          <w:bCs/>
          <w:color w:val="000000"/>
          <w:kern w:val="0"/>
          <w:sz w:val="33"/>
          <w:szCs w:val="33"/>
          <w:lang w:val="en-US" w:eastAsia="zh-CN" w:bidi="ar-SA"/>
        </w:rPr>
        <w:t>三是做实惠民工程。</w:t>
      </w:r>
      <w:r>
        <w:rPr>
          <w:rFonts w:hint="eastAsia" w:eastAsia="方正仿宋_GBK" w:cs="Times New Roman"/>
          <w:color w:val="000000"/>
          <w:kern w:val="0"/>
          <w:sz w:val="33"/>
          <w:szCs w:val="33"/>
          <w:lang w:eastAsia="zh-CN"/>
        </w:rPr>
        <w:t>高质量</w:t>
      </w:r>
      <w:r>
        <w:rPr>
          <w:rFonts w:hint="eastAsia" w:eastAsia="方正仿宋_GBK" w:cs="Times New Roman"/>
          <w:color w:val="000000"/>
          <w:kern w:val="0"/>
          <w:sz w:val="33"/>
          <w:szCs w:val="33"/>
        </w:rPr>
        <w:t>推进</w:t>
      </w:r>
      <w:r>
        <w:rPr>
          <w:rFonts w:hint="eastAsia" w:eastAsia="方正仿宋_GBK" w:cs="Times New Roman"/>
          <w:color w:val="000000"/>
          <w:kern w:val="0"/>
          <w:sz w:val="33"/>
          <w:szCs w:val="33"/>
          <w:lang w:eastAsia="zh-CN"/>
        </w:rPr>
        <w:t>民生和乡村振兴项目</w:t>
      </w:r>
      <w:r>
        <w:rPr>
          <w:rFonts w:eastAsia="方正仿宋_GBK" w:cs="Times New Roman"/>
          <w:color w:val="000000"/>
          <w:kern w:val="0"/>
          <w:sz w:val="33"/>
          <w:szCs w:val="33"/>
        </w:rPr>
        <w:t>，抓好</w:t>
      </w:r>
      <w:r>
        <w:rPr>
          <w:rFonts w:hint="eastAsia" w:eastAsia="方正仿宋_GBK" w:cs="Times New Roman"/>
          <w:color w:val="000000"/>
          <w:kern w:val="0"/>
          <w:sz w:val="33"/>
          <w:szCs w:val="33"/>
          <w:lang w:eastAsia="zh-CN"/>
        </w:rPr>
        <w:t>基础设施、人居环境、精神文明等实事要事</w:t>
      </w:r>
      <w:r>
        <w:rPr>
          <w:rFonts w:eastAsia="方正仿宋_GBK" w:cs="Times New Roman"/>
          <w:color w:val="000000"/>
          <w:kern w:val="0"/>
          <w:sz w:val="33"/>
          <w:szCs w:val="33"/>
        </w:rPr>
        <w:t>，</w:t>
      </w:r>
      <w:r>
        <w:rPr>
          <w:rFonts w:hint="eastAsia" w:eastAsia="方正仿宋_GBK" w:cs="Times New Roman"/>
          <w:color w:val="000000"/>
          <w:kern w:val="0"/>
          <w:sz w:val="33"/>
          <w:szCs w:val="33"/>
          <w:lang w:eastAsia="zh-CN"/>
        </w:rPr>
        <w:t>全力推进西渝高铁拆迁、建设后续工作，</w:t>
      </w:r>
      <w:r>
        <w:rPr>
          <w:rFonts w:hint="eastAsia" w:eastAsia="方正仿宋_GBK" w:cs="Times New Roman"/>
          <w:color w:val="000000"/>
          <w:kern w:val="0"/>
          <w:sz w:val="33"/>
          <w:szCs w:val="33"/>
        </w:rPr>
        <w:t>强化</w:t>
      </w:r>
      <w:r>
        <w:rPr>
          <w:rFonts w:hint="eastAsia" w:eastAsia="方正仿宋_GBK" w:cs="Times New Roman"/>
          <w:color w:val="000000"/>
          <w:kern w:val="0"/>
          <w:sz w:val="33"/>
          <w:szCs w:val="33"/>
          <w:lang w:eastAsia="zh-CN"/>
        </w:rPr>
        <w:t>污水治理，压实大气污染防治责任，</w:t>
      </w:r>
      <w:r>
        <w:rPr>
          <w:rFonts w:eastAsia="方正仿宋_GBK" w:cs="Times New Roman"/>
          <w:color w:val="000000"/>
          <w:kern w:val="0"/>
          <w:sz w:val="33"/>
          <w:szCs w:val="33"/>
        </w:rPr>
        <w:t>及时兑现各项惠民补助政策，</w:t>
      </w:r>
      <w:r>
        <w:rPr>
          <w:rFonts w:hint="eastAsia" w:eastAsia="方正仿宋_GBK" w:cs="Times New Roman"/>
          <w:color w:val="000000"/>
          <w:kern w:val="0"/>
          <w:sz w:val="33"/>
          <w:szCs w:val="33"/>
          <w:lang w:eastAsia="zh-CN"/>
        </w:rPr>
        <w:t>宣传动员医保应交尽交，</w:t>
      </w:r>
      <w:r>
        <w:rPr>
          <w:rFonts w:eastAsia="方正仿宋_GBK" w:cs="Times New Roman"/>
          <w:color w:val="000000"/>
          <w:kern w:val="0"/>
          <w:sz w:val="33"/>
          <w:szCs w:val="33"/>
        </w:rPr>
        <w:t>统筹发展社会事业，让发展成果惠及</w:t>
      </w:r>
      <w:r>
        <w:rPr>
          <w:rFonts w:hint="eastAsia" w:eastAsia="方正仿宋_GBK" w:cs="Times New Roman"/>
          <w:color w:val="000000"/>
          <w:kern w:val="0"/>
          <w:sz w:val="33"/>
          <w:szCs w:val="33"/>
          <w:lang w:eastAsia="zh-CN"/>
        </w:rPr>
        <w:t>广大群众</w:t>
      </w:r>
      <w:r>
        <w:rPr>
          <w:rFonts w:eastAsia="方正仿宋_GBK" w:cs="Times New Roman"/>
          <w:color w:val="000000"/>
          <w:kern w:val="0"/>
          <w:sz w:val="33"/>
          <w:szCs w:val="33"/>
        </w:rPr>
        <w:t>。</w:t>
      </w:r>
    </w:p>
    <w:p w14:paraId="3962E811">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方正仿宋_GBK" w:hAnsi="方正仿宋_GBK" w:eastAsia="方正仿宋_GBK" w:cs="方正仿宋_GBK"/>
          <w:sz w:val="33"/>
          <w:szCs w:val="33"/>
        </w:rPr>
      </w:pPr>
      <w:r>
        <w:rPr>
          <w:rFonts w:hint="eastAsia" w:ascii="方正楷体_GBK" w:hAnsi="方正楷体_GBK" w:eastAsia="方正楷体_GBK" w:cs="方正楷体_GBK"/>
          <w:b/>
          <w:bCs/>
          <w:color w:val="000000"/>
          <w:kern w:val="0"/>
          <w:sz w:val="33"/>
          <w:szCs w:val="33"/>
          <w:lang w:val="en-US" w:eastAsia="zh-CN" w:bidi="ar-SA"/>
        </w:rPr>
        <w:t>四是</w:t>
      </w:r>
      <w:r>
        <w:rPr>
          <w:rFonts w:hint="eastAsia" w:ascii="方正楷体_GBK" w:hAnsi="方正楷体_GBK" w:eastAsia="方正楷体_GBK" w:cs="方正楷体_GBK"/>
          <w:b/>
          <w:bCs/>
          <w:sz w:val="33"/>
          <w:szCs w:val="33"/>
          <w:lang w:eastAsia="zh-CN"/>
        </w:rPr>
        <w:t>筑牢稳定屏障。</w:t>
      </w:r>
      <w:r>
        <w:rPr>
          <w:rFonts w:hint="eastAsia" w:ascii="方正仿宋_GBK" w:hAnsi="方正仿宋_GBK" w:eastAsia="方正仿宋_GBK" w:cs="方正仿宋_GBK"/>
          <w:sz w:val="33"/>
          <w:szCs w:val="33"/>
        </w:rPr>
        <w:t>加强乡村治理体系和治理能力现代化建设，</w:t>
      </w:r>
      <w:r>
        <w:rPr>
          <w:rFonts w:hint="eastAsia" w:ascii="方正仿宋_GBK" w:hAnsi="方正仿宋_GBK" w:eastAsia="方正仿宋_GBK" w:cs="方正仿宋_GBK"/>
          <w:sz w:val="33"/>
          <w:szCs w:val="33"/>
          <w:lang w:eastAsia="zh-CN"/>
        </w:rPr>
        <w:t>常态开展反诈、反邪、禁毒宣传教育，</w:t>
      </w:r>
      <w:r>
        <w:rPr>
          <w:rFonts w:hint="eastAsia" w:ascii="方正仿宋_GBK" w:hAnsi="方正仿宋_GBK" w:eastAsia="方正仿宋_GBK" w:cs="方正仿宋_GBK"/>
          <w:sz w:val="33"/>
          <w:szCs w:val="33"/>
        </w:rPr>
        <w:t>强化社会治安防控体系，加强矛盾纠纷排查化解，</w:t>
      </w:r>
      <w:r>
        <w:rPr>
          <w:rFonts w:hint="eastAsia" w:ascii="方正仿宋_GBK" w:hAnsi="方正仿宋_GBK" w:eastAsia="方正仿宋_GBK" w:cs="方正仿宋_GBK"/>
          <w:sz w:val="33"/>
          <w:szCs w:val="33"/>
          <w:lang w:eastAsia="zh-CN"/>
        </w:rPr>
        <w:t>全</w:t>
      </w:r>
      <w:r>
        <w:rPr>
          <w:rFonts w:hint="eastAsia" w:ascii="方正仿宋_GBK" w:hAnsi="方正仿宋_GBK" w:eastAsia="方正仿宋_GBK" w:cs="方正仿宋_GBK"/>
          <w:sz w:val="33"/>
          <w:szCs w:val="33"/>
        </w:rPr>
        <w:t>力把问题解决在基层、化解在萌芽状态</w:t>
      </w:r>
      <w:r>
        <w:rPr>
          <w:rFonts w:hint="eastAsia" w:ascii="方正仿宋_GBK" w:hAnsi="方正仿宋_GBK" w:eastAsia="方正仿宋_GBK" w:cs="方正仿宋_GBK"/>
          <w:sz w:val="33"/>
          <w:szCs w:val="33"/>
          <w:lang w:eastAsia="zh-CN"/>
        </w:rPr>
        <w:t>，切实</w:t>
      </w:r>
      <w:r>
        <w:rPr>
          <w:rFonts w:hint="eastAsia" w:ascii="方正仿宋_GBK" w:hAnsi="方正仿宋_GBK" w:eastAsia="方正仿宋_GBK" w:cs="方正仿宋_GBK"/>
          <w:sz w:val="33"/>
          <w:szCs w:val="33"/>
        </w:rPr>
        <w:t>提升公共</w:t>
      </w:r>
      <w:r>
        <w:rPr>
          <w:rFonts w:hint="eastAsia" w:ascii="方正仿宋_GBK" w:hAnsi="方正仿宋_GBK" w:eastAsia="方正仿宋_GBK" w:cs="方正仿宋_GBK"/>
          <w:sz w:val="33"/>
          <w:szCs w:val="33"/>
          <w:lang w:eastAsia="zh-CN"/>
        </w:rPr>
        <w:t>服务</w:t>
      </w:r>
      <w:r>
        <w:rPr>
          <w:rFonts w:hint="eastAsia" w:ascii="方正仿宋_GBK" w:hAnsi="方正仿宋_GBK" w:eastAsia="方正仿宋_GBK" w:cs="方正仿宋_GBK"/>
          <w:sz w:val="33"/>
          <w:szCs w:val="33"/>
        </w:rPr>
        <w:t>管理水平。深入开展、食品药品</w:t>
      </w:r>
      <w:r>
        <w:rPr>
          <w:rFonts w:hint="eastAsia" w:ascii="方正仿宋_GBK" w:hAnsi="方正仿宋_GBK" w:eastAsia="方正仿宋_GBK" w:cs="方正仿宋_GBK"/>
          <w:sz w:val="33"/>
          <w:szCs w:val="33"/>
          <w:lang w:eastAsia="zh-CN"/>
        </w:rPr>
        <w:t>、住建、交通</w:t>
      </w:r>
      <w:r>
        <w:rPr>
          <w:rFonts w:hint="eastAsia" w:ascii="方正仿宋_GBK" w:hAnsi="方正仿宋_GBK" w:eastAsia="方正仿宋_GBK" w:cs="方正仿宋_GBK"/>
          <w:sz w:val="33"/>
          <w:szCs w:val="33"/>
        </w:rPr>
        <w:t>等</w:t>
      </w:r>
      <w:r>
        <w:rPr>
          <w:rFonts w:hint="eastAsia" w:ascii="方正仿宋_GBK" w:hAnsi="方正仿宋_GBK" w:eastAsia="方正仿宋_GBK" w:cs="方正仿宋_GBK"/>
          <w:sz w:val="33"/>
          <w:szCs w:val="33"/>
          <w:lang w:eastAsia="zh-CN"/>
        </w:rPr>
        <w:t>安全领域</w:t>
      </w:r>
      <w:r>
        <w:rPr>
          <w:rFonts w:hint="eastAsia" w:ascii="方正仿宋_GBK" w:hAnsi="方正仿宋_GBK" w:eastAsia="方正仿宋_GBK" w:cs="方正仿宋_GBK"/>
          <w:sz w:val="33"/>
          <w:szCs w:val="33"/>
        </w:rPr>
        <w:t>专项整治行动，严防各类安全事故的发生。</w:t>
      </w:r>
    </w:p>
    <w:p w14:paraId="1A96B173">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二、部门预算单位构成情况</w:t>
      </w:r>
    </w:p>
    <w:p w14:paraId="12979FF4">
      <w:pPr>
        <w:spacing w:beforeLines="0" w:afterLines="0"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广安市前锋区</w:t>
      </w:r>
      <w:r>
        <w:rPr>
          <w:rFonts w:hint="eastAsia" w:ascii="Times New Roman" w:hAnsi="Times New Roman" w:eastAsia="仿宋_GB2312" w:cs="Times New Roman"/>
          <w:color w:val="auto"/>
          <w:sz w:val="32"/>
          <w:szCs w:val="32"/>
          <w:highlight w:val="none"/>
          <w:lang w:val="en-US" w:eastAsia="zh-CN"/>
        </w:rPr>
        <w:t>观塘镇</w:t>
      </w:r>
      <w:r>
        <w:rPr>
          <w:rFonts w:hint="default" w:ascii="Times New Roman" w:hAnsi="Times New Roman" w:eastAsia="仿宋_GB2312" w:cs="Times New Roman"/>
          <w:color w:val="auto"/>
          <w:sz w:val="32"/>
          <w:szCs w:val="32"/>
          <w:highlight w:val="none"/>
          <w:lang w:val="en-US" w:eastAsia="zh-CN"/>
        </w:rPr>
        <w:t>人民政府为一级预算单位，</w:t>
      </w:r>
      <w:r>
        <w:rPr>
          <w:rFonts w:hint="eastAsia" w:ascii="Times New Roman" w:hAnsi="Times New Roman" w:eastAsia="仿宋_GB2312" w:cs="Times New Roman"/>
          <w:color w:val="auto"/>
          <w:sz w:val="32"/>
          <w:szCs w:val="32"/>
          <w:highlight w:val="none"/>
          <w:lang w:val="en-US" w:eastAsia="zh-CN"/>
        </w:rPr>
        <w:t>无下属二级预算单位。</w:t>
      </w:r>
      <w:r>
        <w:rPr>
          <w:rFonts w:hint="default" w:ascii="Times New Roman" w:hAnsi="Times New Roman" w:eastAsia="仿宋_GB2312" w:cs="Times New Roman"/>
          <w:color w:val="auto"/>
          <w:sz w:val="32"/>
          <w:szCs w:val="32"/>
          <w:highlight w:val="none"/>
          <w:lang w:val="en-US" w:eastAsia="zh-CN"/>
        </w:rPr>
        <w:t>单位内设综合办事机构</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个，分别为：党建工作办公室、经济发展和乡村振兴办公室</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社会治理办公室</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应急管理办公室</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综合执法办公室</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财政</w:t>
      </w:r>
      <w:r>
        <w:rPr>
          <w:rFonts w:hint="eastAsia" w:ascii="Times New Roman" w:hAnsi="Times New Roman" w:eastAsia="仿宋_GB2312" w:cs="Times New Roman"/>
          <w:color w:val="auto"/>
          <w:sz w:val="32"/>
          <w:szCs w:val="32"/>
          <w:highlight w:val="none"/>
          <w:lang w:val="en-US" w:eastAsia="zh-CN"/>
        </w:rPr>
        <w:t>和社会事务办公室</w:t>
      </w:r>
      <w:r>
        <w:rPr>
          <w:rFonts w:hint="default" w:ascii="Times New Roman" w:hAnsi="Times New Roman" w:eastAsia="仿宋_GB2312" w:cs="Times New Roman"/>
          <w:color w:val="auto"/>
          <w:sz w:val="32"/>
          <w:szCs w:val="32"/>
          <w:highlight w:val="none"/>
          <w:lang w:val="en-US" w:eastAsia="zh-CN"/>
        </w:rPr>
        <w:t>；镇属事业单位</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个，分别为：便民服务中心</w:t>
      </w:r>
      <w:r>
        <w:rPr>
          <w:rFonts w:hint="eastAsia" w:ascii="Times New Roman" w:hAnsi="Times New Roman" w:eastAsia="仿宋_GB2312" w:cs="Times New Roman"/>
          <w:color w:val="auto"/>
          <w:sz w:val="32"/>
          <w:szCs w:val="32"/>
          <w:highlight w:val="none"/>
          <w:lang w:val="en-US" w:eastAsia="zh-CN"/>
        </w:rPr>
        <w:t>（挂退役军人服务站牌子）</w:t>
      </w:r>
      <w:r>
        <w:rPr>
          <w:rFonts w:hint="default" w:ascii="Times New Roman" w:hAnsi="Times New Roman" w:eastAsia="仿宋_GB2312" w:cs="Times New Roman"/>
          <w:color w:val="auto"/>
          <w:sz w:val="32"/>
          <w:szCs w:val="32"/>
          <w:highlight w:val="none"/>
          <w:lang w:val="en-US" w:eastAsia="zh-CN"/>
        </w:rPr>
        <w:t>、宣传文化服务中心</w:t>
      </w:r>
      <w:r>
        <w:rPr>
          <w:rFonts w:hint="eastAsia" w:ascii="Times New Roman" w:hAnsi="Times New Roman" w:eastAsia="仿宋_GB2312" w:cs="Times New Roman"/>
          <w:color w:val="auto"/>
          <w:sz w:val="32"/>
          <w:szCs w:val="32"/>
          <w:highlight w:val="none"/>
          <w:lang w:val="en-US" w:eastAsia="zh-CN"/>
        </w:rPr>
        <w:t>（挂新时代文明实践所牌子）、</w:t>
      </w:r>
      <w:r>
        <w:rPr>
          <w:rFonts w:hint="default" w:ascii="Times New Roman" w:hAnsi="Times New Roman" w:eastAsia="仿宋_GB2312" w:cs="Times New Roman"/>
          <w:color w:val="auto"/>
          <w:sz w:val="32"/>
          <w:szCs w:val="32"/>
          <w:highlight w:val="none"/>
          <w:lang w:val="en-US" w:eastAsia="zh-CN"/>
        </w:rPr>
        <w:t>城建环卫服务中心；区级派驻单位4个，分别为：农业服务中心、畜牧兽医站、林业技术推广站、水利技术推广站。</w:t>
      </w:r>
    </w:p>
    <w:p w14:paraId="423CEB5F">
      <w:pPr>
        <w:pStyle w:val="5"/>
        <w:adjustRightInd w:val="0"/>
        <w:spacing w:before="130" w:line="580" w:lineRule="exact"/>
        <w:ind w:firstLine="672" w:firstLineChars="210"/>
        <w:rPr>
          <w:rFonts w:hint="default" w:ascii="Times New Roman" w:hAnsi="Times New Roman" w:eastAsia="仿宋_GB2312" w:cs="Times New Roman"/>
          <w:sz w:val="32"/>
          <w:szCs w:val="32"/>
          <w:highlight w:val="none"/>
          <w:lang w:val="en-US" w:eastAsia="zh-CN"/>
        </w:rPr>
      </w:pPr>
    </w:p>
    <w:p w14:paraId="3D4689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F684A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95525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58461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14C6C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313E6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91182EE">
      <w:pP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br w:type="page"/>
      </w:r>
    </w:p>
    <w:p w14:paraId="51E99F5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E701C9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631D35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87F5ED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DBC916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6CF8BC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C38C2B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D34410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default" w:ascii="Times New Roman" w:hAnsi="Times New Roman" w:eastAsia="黑体" w:cs="Times New Roman"/>
          <w:sz w:val="32"/>
          <w:szCs w:val="32"/>
          <w:highlight w:val="none"/>
          <w:lang w:val="en-US" w:eastAsia="zh-CN"/>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广安市前锋区观塘镇人民政府2025年部门预算情况说明</w:t>
      </w:r>
    </w:p>
    <w:p w14:paraId="250634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1"/>
        <w:rPr>
          <w:rFonts w:hint="eastAsia" w:ascii="Times New Roman" w:hAnsi="Times New Roman" w:eastAsia="黑体" w:cs="Times New Roman"/>
          <w:sz w:val="32"/>
          <w:szCs w:val="32"/>
          <w:highlight w:val="none"/>
          <w:lang w:eastAsia="zh-CN"/>
        </w:rPr>
      </w:pPr>
    </w:p>
    <w:p w14:paraId="236416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1"/>
        <w:rPr>
          <w:rFonts w:hint="eastAsia" w:ascii="Times New Roman" w:hAnsi="Times New Roman" w:eastAsia="黑体" w:cs="Times New Roman"/>
          <w:sz w:val="32"/>
          <w:szCs w:val="32"/>
          <w:highlight w:val="none"/>
          <w:lang w:eastAsia="zh-CN"/>
        </w:rPr>
      </w:pPr>
    </w:p>
    <w:p w14:paraId="06E40A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eastAsia" w:ascii="Times New Roman" w:hAnsi="Times New Roman" w:eastAsia="黑体" w:cs="Times New Roman"/>
          <w:sz w:val="32"/>
          <w:szCs w:val="32"/>
          <w:highlight w:val="none"/>
          <w:lang w:eastAsia="zh-CN"/>
        </w:rPr>
      </w:pPr>
    </w:p>
    <w:p w14:paraId="7F0BD9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eastAsia" w:ascii="Times New Roman" w:hAnsi="Times New Roman" w:eastAsia="黑体" w:cs="Times New Roman"/>
          <w:sz w:val="32"/>
          <w:szCs w:val="32"/>
          <w:highlight w:val="none"/>
          <w:lang w:eastAsia="zh-CN"/>
        </w:rPr>
      </w:pPr>
    </w:p>
    <w:p w14:paraId="475F62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eastAsia" w:ascii="Times New Roman" w:hAnsi="Times New Roman" w:eastAsia="黑体" w:cs="Times New Roman"/>
          <w:sz w:val="32"/>
          <w:szCs w:val="32"/>
          <w:highlight w:val="none"/>
          <w:lang w:eastAsia="zh-CN"/>
        </w:rPr>
      </w:pPr>
    </w:p>
    <w:p w14:paraId="3AE992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eastAsia" w:ascii="Times New Roman" w:hAnsi="Times New Roman" w:eastAsia="黑体" w:cs="Times New Roman"/>
          <w:sz w:val="32"/>
          <w:szCs w:val="32"/>
          <w:highlight w:val="none"/>
          <w:lang w:eastAsia="zh-CN"/>
        </w:rPr>
      </w:pPr>
    </w:p>
    <w:p w14:paraId="2D285D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eastAsia" w:ascii="Times New Roman" w:hAnsi="Times New Roman" w:eastAsia="黑体" w:cs="Times New Roman"/>
          <w:sz w:val="32"/>
          <w:szCs w:val="32"/>
          <w:highlight w:val="none"/>
          <w:lang w:eastAsia="zh-CN"/>
        </w:rPr>
      </w:pPr>
    </w:p>
    <w:p w14:paraId="020741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eastAsia" w:ascii="Times New Roman" w:hAnsi="Times New Roman" w:eastAsia="黑体" w:cs="Times New Roman"/>
          <w:sz w:val="32"/>
          <w:szCs w:val="32"/>
          <w:highlight w:val="none"/>
          <w:lang w:eastAsia="zh-CN"/>
        </w:rPr>
      </w:pPr>
    </w:p>
    <w:p w14:paraId="48962B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eastAsia" w:ascii="Times New Roman" w:hAnsi="Times New Roman" w:eastAsia="黑体" w:cs="Times New Roman"/>
          <w:sz w:val="32"/>
          <w:szCs w:val="32"/>
          <w:highlight w:val="none"/>
          <w:lang w:eastAsia="zh-CN"/>
        </w:rPr>
      </w:pPr>
    </w:p>
    <w:p w14:paraId="725DDD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eastAsia" w:ascii="Times New Roman" w:hAnsi="Times New Roman" w:eastAsia="黑体" w:cs="Times New Roman"/>
          <w:sz w:val="32"/>
          <w:szCs w:val="32"/>
          <w:highlight w:val="none"/>
          <w:lang w:eastAsia="zh-CN"/>
        </w:rPr>
      </w:pPr>
    </w:p>
    <w:p w14:paraId="5C81B4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eastAsia" w:ascii="Times New Roman" w:hAnsi="Times New Roman" w:eastAsia="黑体" w:cs="Times New Roman"/>
          <w:sz w:val="32"/>
          <w:szCs w:val="32"/>
          <w:highlight w:val="none"/>
          <w:lang w:eastAsia="zh-CN"/>
        </w:rPr>
      </w:pPr>
    </w:p>
    <w:p w14:paraId="53DE405A">
      <w:pPr>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br w:type="page"/>
      </w:r>
    </w:p>
    <w:p w14:paraId="26C43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rPr>
        <w:t>说明</w:t>
      </w:r>
    </w:p>
    <w:p w14:paraId="0C0929A3">
      <w:pPr>
        <w:suppressAutoHyphens/>
        <w:bidi w:val="0"/>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按照综合预算的原则，</w:t>
      </w:r>
      <w:r>
        <w:rPr>
          <w:rFonts w:hint="eastAsia" w:ascii="Times New Roman" w:hAnsi="Times New Roman" w:eastAsia="仿宋_GB2312" w:cs="Times New Roman"/>
          <w:sz w:val="32"/>
          <w:szCs w:val="32"/>
          <w:highlight w:val="none"/>
          <w:lang w:eastAsia="zh-CN"/>
        </w:rPr>
        <w:t>观塘镇</w:t>
      </w:r>
      <w:r>
        <w:rPr>
          <w:rFonts w:hint="default" w:ascii="Times New Roman" w:hAnsi="Times New Roman" w:eastAsia="仿宋_GB2312" w:cs="Times New Roman"/>
          <w:sz w:val="32"/>
          <w:szCs w:val="32"/>
          <w:highlight w:val="none"/>
        </w:rPr>
        <w:t>所有收入和支出均纳入部门预算管理。收入包括：一般公共预算拨款收入</w:t>
      </w:r>
      <w:r>
        <w:rPr>
          <w:rFonts w:hint="eastAsia" w:ascii="Times New Roman" w:hAnsi="Times New Roman" w:eastAsia="仿宋_GB2312" w:cs="Times New Roman"/>
          <w:sz w:val="32"/>
          <w:szCs w:val="32"/>
          <w:highlight w:val="none"/>
          <w:lang w:eastAsia="zh-CN"/>
        </w:rPr>
        <w:t>、上年结转收入</w:t>
      </w:r>
      <w:r>
        <w:rPr>
          <w:rFonts w:hint="default" w:ascii="Times New Roman" w:hAnsi="Times New Roman" w:eastAsia="仿宋_GB2312" w:cs="Times New Roman"/>
          <w:sz w:val="32"/>
          <w:szCs w:val="32"/>
          <w:highlight w:val="none"/>
        </w:rPr>
        <w:t>；支出包括：</w:t>
      </w:r>
      <w:r>
        <w:rPr>
          <w:rFonts w:hint="eastAsia" w:ascii="Times New Roman" w:hAnsi="Times New Roman" w:eastAsia="仿宋_GB2312" w:cs="Times New Roman"/>
          <w:sz w:val="32"/>
          <w:szCs w:val="32"/>
          <w:highlight w:val="none"/>
        </w:rPr>
        <w:t>一般公共服务支出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文化体育与传媒支出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社会保障和就业支出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卫生健康支出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城乡社区支出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农林水支出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交通运输支出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住房保障支出。</w:t>
      </w:r>
      <w:r>
        <w:rPr>
          <w:rFonts w:hint="eastAsia" w:ascii="Times New Roman" w:hAnsi="Times New Roman" w:eastAsia="仿宋_GB2312" w:cs="Times New Roman"/>
          <w:sz w:val="32"/>
          <w:szCs w:val="32"/>
          <w:highlight w:val="none"/>
          <w:lang w:eastAsia="zh-CN"/>
        </w:rPr>
        <w:t>观塘镇2025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1894.61</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收支预算总数</w:t>
      </w:r>
      <w:r>
        <w:rPr>
          <w:rFonts w:hint="eastAsia" w:ascii="Times New Roman" w:hAnsi="Times New Roman" w:eastAsia="仿宋_GB2312" w:cs="Times New Roman"/>
          <w:sz w:val="32"/>
          <w:szCs w:val="32"/>
          <w:highlight w:val="none"/>
          <w:lang w:eastAsia="zh-CN"/>
        </w:rPr>
        <w:t>减少</w:t>
      </w:r>
      <w:r>
        <w:rPr>
          <w:rFonts w:hint="eastAsia" w:ascii="Times New Roman" w:hAnsi="Times New Roman" w:eastAsia="仿宋_GB2312" w:cs="Times New Roman"/>
          <w:sz w:val="32"/>
          <w:szCs w:val="32"/>
          <w:highlight w:val="none"/>
          <w:lang w:val="en-US" w:eastAsia="zh-CN"/>
        </w:rPr>
        <w:t>131.43</w:t>
      </w:r>
      <w:r>
        <w:rPr>
          <w:rFonts w:hint="default" w:ascii="Times New Roman" w:hAnsi="Times New Roman" w:eastAsia="仿宋_GB2312" w:cs="Times New Roman"/>
          <w:sz w:val="32"/>
          <w:szCs w:val="32"/>
          <w:highlight w:val="none"/>
        </w:rPr>
        <w:t>万元，主要原因是</w:t>
      </w:r>
      <w:r>
        <w:rPr>
          <w:rFonts w:hint="default" w:ascii="Times New Roman" w:hAnsi="Times New Roman" w:eastAsia="仿宋_GB2312" w:cs="Times New Roman"/>
          <w:sz w:val="32"/>
          <w:szCs w:val="32"/>
          <w:highlight w:val="none"/>
          <w:u w:val="none"/>
          <w:lang w:eastAsia="zh-CN"/>
        </w:rPr>
        <w:t>上年资金结转</w:t>
      </w:r>
      <w:r>
        <w:rPr>
          <w:rFonts w:hint="eastAsia" w:ascii="Times New Roman" w:hAnsi="Times New Roman" w:eastAsia="仿宋_GB2312" w:cs="Times New Roman"/>
          <w:sz w:val="32"/>
          <w:szCs w:val="32"/>
          <w:highlight w:val="none"/>
          <w:u w:val="none"/>
          <w:lang w:eastAsia="zh-CN"/>
        </w:rPr>
        <w:t>减少</w:t>
      </w:r>
      <w:r>
        <w:rPr>
          <w:rFonts w:hint="default" w:ascii="Times New Roman" w:hAnsi="Times New Roman" w:eastAsia="仿宋_GB2312" w:cs="Times New Roman"/>
          <w:sz w:val="32"/>
          <w:szCs w:val="32"/>
          <w:highlight w:val="none"/>
          <w:lang w:eastAsia="zh-CN"/>
        </w:rPr>
        <w:t>。</w:t>
      </w:r>
    </w:p>
    <w:p w14:paraId="4F4441A5">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14:paraId="5153B047">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观塘镇2025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收入预算</w:t>
      </w:r>
      <w:r>
        <w:rPr>
          <w:rFonts w:hint="eastAsia" w:ascii="Times New Roman" w:hAnsi="Times New Roman" w:eastAsia="仿宋_GB2312" w:cs="Times New Roman"/>
          <w:sz w:val="32"/>
          <w:szCs w:val="32"/>
          <w:highlight w:val="none"/>
          <w:lang w:val="en-US" w:eastAsia="zh-CN"/>
        </w:rPr>
        <w:t>1894.61</w:t>
      </w:r>
      <w:r>
        <w:rPr>
          <w:rFonts w:hint="default" w:ascii="Times New Roman" w:hAnsi="Times New Roman" w:eastAsia="仿宋_GB2312" w:cs="Times New Roman"/>
          <w:sz w:val="32"/>
          <w:szCs w:val="32"/>
          <w:highlight w:val="none"/>
        </w:rPr>
        <w:t>万元，其中：上年结转</w:t>
      </w:r>
      <w:r>
        <w:rPr>
          <w:rFonts w:hint="eastAsia" w:ascii="Times New Roman" w:hAnsi="Times New Roman" w:eastAsia="仿宋_GB2312" w:cs="Times New Roman"/>
          <w:sz w:val="32"/>
          <w:szCs w:val="32"/>
          <w:highlight w:val="none"/>
          <w:lang w:val="en-US" w:eastAsia="zh-CN"/>
        </w:rPr>
        <w:t>174.37</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9.2</w:t>
      </w:r>
      <w:r>
        <w:rPr>
          <w:rFonts w:hint="default" w:ascii="Times New Roman" w:hAnsi="Times New Roman" w:eastAsia="仿宋_GB2312" w:cs="Times New Roman"/>
          <w:sz w:val="32"/>
          <w:szCs w:val="32"/>
          <w:highlight w:val="none"/>
        </w:rPr>
        <w:t>%；一般公共预算拨款收入</w:t>
      </w:r>
      <w:r>
        <w:rPr>
          <w:rFonts w:hint="eastAsia" w:ascii="Times New Roman" w:hAnsi="Times New Roman" w:eastAsia="仿宋_GB2312" w:cs="Times New Roman"/>
          <w:sz w:val="32"/>
          <w:szCs w:val="32"/>
          <w:highlight w:val="none"/>
          <w:lang w:val="en-US" w:eastAsia="zh-CN"/>
        </w:rPr>
        <w:t>1720.24</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90.8</w:t>
      </w:r>
      <w:r>
        <w:rPr>
          <w:rFonts w:hint="default" w:ascii="Times New Roman" w:hAnsi="Times New Roman" w:eastAsia="仿宋_GB2312" w:cs="Times New Roman"/>
          <w:sz w:val="32"/>
          <w:szCs w:val="32"/>
          <w:highlight w:val="none"/>
        </w:rPr>
        <w:t>%；政府性基金预算拨款收入</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%；事业收入</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w:t>
      </w:r>
    </w:p>
    <w:p w14:paraId="74D62120">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14:paraId="260AA4FC">
      <w:pPr>
        <w:suppressAutoHyphens/>
        <w:bidi w:val="0"/>
        <w:spacing w:line="580" w:lineRule="exact"/>
        <w:ind w:firstLine="640" w:firstLineChars="200"/>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lang w:eastAsia="zh-CN"/>
        </w:rPr>
        <w:t>观塘镇2025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支出预算</w:t>
      </w:r>
      <w:r>
        <w:rPr>
          <w:rFonts w:hint="eastAsia" w:ascii="Times New Roman" w:hAnsi="Times New Roman" w:eastAsia="仿宋_GB2312" w:cs="Times New Roman"/>
          <w:sz w:val="32"/>
          <w:szCs w:val="32"/>
          <w:highlight w:val="none"/>
          <w:lang w:val="en-US" w:eastAsia="zh-CN"/>
        </w:rPr>
        <w:t>1868.61</w:t>
      </w:r>
      <w:r>
        <w:rPr>
          <w:rFonts w:hint="default"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1720.24</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92.06</w:t>
      </w:r>
      <w:r>
        <w:rPr>
          <w:rFonts w:hint="default"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lang w:val="en-US" w:eastAsia="zh-CN"/>
        </w:rPr>
        <w:t>148.37</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7.94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none"/>
          <w:lang w:eastAsia="zh-CN"/>
        </w:rPr>
        <w:t>。</w:t>
      </w:r>
    </w:p>
    <w:p w14:paraId="62F1DCB1">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14:paraId="05A85518">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观塘镇2025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1894.61</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eastAsia="zh-CN"/>
        </w:rPr>
        <w:t>减少</w:t>
      </w:r>
      <w:r>
        <w:rPr>
          <w:rFonts w:hint="eastAsia" w:ascii="Times New Roman" w:hAnsi="Times New Roman" w:eastAsia="仿宋_GB2312" w:cs="Times New Roman"/>
          <w:sz w:val="32"/>
          <w:szCs w:val="32"/>
          <w:highlight w:val="none"/>
          <w:lang w:val="en-US" w:eastAsia="zh-CN"/>
        </w:rPr>
        <w:t>131.43</w:t>
      </w:r>
      <w:r>
        <w:rPr>
          <w:rFonts w:hint="default" w:ascii="Times New Roman" w:hAnsi="Times New Roman" w:eastAsia="仿宋_GB2312" w:cs="Times New Roman"/>
          <w:sz w:val="32"/>
          <w:szCs w:val="32"/>
          <w:highlight w:val="none"/>
          <w:u w:val="none"/>
        </w:rPr>
        <w:t>万</w:t>
      </w:r>
      <w:r>
        <w:rPr>
          <w:rFonts w:hint="default" w:ascii="Times New Roman" w:hAnsi="Times New Roman" w:eastAsia="仿宋_GB2312" w:cs="Times New Roman"/>
          <w:sz w:val="32"/>
          <w:szCs w:val="32"/>
          <w:highlight w:val="none"/>
        </w:rPr>
        <w:t>元，主要原因是</w:t>
      </w:r>
      <w:r>
        <w:rPr>
          <w:rFonts w:hint="eastAsia" w:ascii="Times New Roman" w:hAnsi="Times New Roman" w:eastAsia="仿宋_GB2312" w:cs="Times New Roman"/>
          <w:sz w:val="32"/>
          <w:szCs w:val="32"/>
          <w:highlight w:val="none"/>
          <w:lang w:eastAsia="zh-CN"/>
        </w:rPr>
        <w:t>上年资金结转减少</w:t>
      </w:r>
      <w:r>
        <w:rPr>
          <w:rFonts w:hint="default" w:ascii="Times New Roman" w:hAnsi="Times New Roman" w:eastAsia="仿宋_GB2312" w:cs="Times New Roman"/>
          <w:sz w:val="32"/>
          <w:szCs w:val="32"/>
          <w:highlight w:val="none"/>
        </w:rPr>
        <w:t>。</w:t>
      </w:r>
    </w:p>
    <w:p w14:paraId="236357D0">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收入包括：本年一般公共预算拨款收入</w:t>
      </w:r>
      <w:r>
        <w:rPr>
          <w:rFonts w:hint="eastAsia" w:ascii="Times New Roman" w:hAnsi="Times New Roman" w:eastAsia="仿宋_GB2312" w:cs="Times New Roman"/>
          <w:sz w:val="32"/>
          <w:szCs w:val="32"/>
          <w:highlight w:val="none"/>
          <w:lang w:val="en-US" w:eastAsia="zh-CN"/>
        </w:rPr>
        <w:t>1720.24</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上年结转一般公共预算拨款收入</w:t>
      </w:r>
      <w:r>
        <w:rPr>
          <w:rFonts w:hint="eastAsia" w:ascii="Times New Roman" w:hAnsi="Times New Roman" w:eastAsia="仿宋_GB2312" w:cs="Times New Roman"/>
          <w:sz w:val="32"/>
          <w:szCs w:val="32"/>
          <w:highlight w:val="none"/>
          <w:lang w:val="en-US" w:eastAsia="zh-CN"/>
        </w:rPr>
        <w:t>174.37万元。</w:t>
      </w:r>
      <w:r>
        <w:rPr>
          <w:rFonts w:hint="eastAsia" w:ascii="Times New Roman" w:hAnsi="Times New Roman" w:eastAsia="仿宋_GB2312" w:cs="Times New Roman"/>
          <w:sz w:val="32"/>
          <w:szCs w:val="32"/>
          <w:highlight w:val="none"/>
        </w:rPr>
        <w:t>支出包括：一般公共服务支出</w:t>
      </w:r>
      <w:r>
        <w:rPr>
          <w:rFonts w:hint="eastAsia" w:ascii="Times New Roman" w:hAnsi="Times New Roman" w:eastAsia="仿宋_GB2312" w:cs="Times New Roman"/>
          <w:sz w:val="32"/>
          <w:szCs w:val="32"/>
          <w:highlight w:val="none"/>
          <w:lang w:val="en-US" w:eastAsia="zh-CN"/>
        </w:rPr>
        <w:t>767.36</w:t>
      </w:r>
      <w:r>
        <w:rPr>
          <w:rFonts w:hint="eastAsia"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文化体育与传媒支出</w:t>
      </w:r>
      <w:r>
        <w:rPr>
          <w:rFonts w:hint="eastAsia" w:ascii="Times New Roman" w:hAnsi="Times New Roman" w:eastAsia="仿宋_GB2312" w:cs="Times New Roman"/>
          <w:sz w:val="32"/>
          <w:szCs w:val="32"/>
          <w:highlight w:val="none"/>
          <w:lang w:val="en-US" w:eastAsia="zh-CN"/>
        </w:rPr>
        <w:t>25.14</w:t>
      </w:r>
      <w:r>
        <w:rPr>
          <w:rFonts w:hint="eastAsia" w:ascii="Times New Roman" w:hAnsi="Times New Roman" w:eastAsia="仿宋_GB2312" w:cs="Times New Roman"/>
          <w:sz w:val="32"/>
          <w:szCs w:val="32"/>
          <w:highlight w:val="none"/>
          <w:lang w:eastAsia="zh-CN"/>
        </w:rPr>
        <w:t>万元、</w:t>
      </w:r>
      <w:r>
        <w:rPr>
          <w:rFonts w:hint="eastAsia" w:ascii="Times New Roman" w:hAnsi="Times New Roman" w:eastAsia="仿宋_GB2312" w:cs="Times New Roman"/>
          <w:sz w:val="32"/>
          <w:szCs w:val="32"/>
          <w:highlight w:val="none"/>
        </w:rPr>
        <w:t>社会保障和就业支出</w:t>
      </w:r>
      <w:r>
        <w:rPr>
          <w:rFonts w:hint="eastAsia" w:ascii="Times New Roman" w:hAnsi="Times New Roman" w:eastAsia="仿宋_GB2312" w:cs="Times New Roman"/>
          <w:sz w:val="32"/>
          <w:szCs w:val="32"/>
          <w:highlight w:val="none"/>
          <w:lang w:val="en-US" w:eastAsia="zh-CN"/>
        </w:rPr>
        <w:t>119.89</w:t>
      </w:r>
      <w:r>
        <w:rPr>
          <w:rFonts w:hint="eastAsia"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卫生健康支出</w:t>
      </w:r>
      <w:r>
        <w:rPr>
          <w:rFonts w:hint="eastAsia" w:ascii="Times New Roman" w:hAnsi="Times New Roman" w:eastAsia="仿宋_GB2312" w:cs="Times New Roman"/>
          <w:sz w:val="32"/>
          <w:szCs w:val="32"/>
          <w:highlight w:val="none"/>
          <w:lang w:val="en-US" w:eastAsia="zh-CN"/>
        </w:rPr>
        <w:t>43.64</w:t>
      </w:r>
      <w:r>
        <w:rPr>
          <w:rFonts w:hint="eastAsia"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城乡社区支出</w:t>
      </w:r>
      <w:r>
        <w:rPr>
          <w:rFonts w:hint="eastAsia" w:ascii="Times New Roman" w:hAnsi="Times New Roman" w:eastAsia="仿宋_GB2312" w:cs="Times New Roman"/>
          <w:sz w:val="32"/>
          <w:szCs w:val="32"/>
          <w:highlight w:val="none"/>
          <w:lang w:val="en-US" w:eastAsia="zh-CN"/>
        </w:rPr>
        <w:t>62.32</w:t>
      </w:r>
      <w:r>
        <w:rPr>
          <w:rFonts w:hint="eastAsia" w:ascii="Times New Roman" w:hAnsi="Times New Roman" w:eastAsia="仿宋_GB2312" w:cs="Times New Roman"/>
          <w:sz w:val="32"/>
          <w:szCs w:val="32"/>
          <w:highlight w:val="none"/>
          <w:lang w:eastAsia="zh-CN"/>
        </w:rPr>
        <w:t>万元、</w:t>
      </w:r>
      <w:r>
        <w:rPr>
          <w:rFonts w:hint="eastAsia" w:ascii="Times New Roman" w:hAnsi="Times New Roman" w:eastAsia="仿宋_GB2312" w:cs="Times New Roman"/>
          <w:sz w:val="32"/>
          <w:szCs w:val="32"/>
          <w:highlight w:val="none"/>
        </w:rPr>
        <w:t>农林水支出</w:t>
      </w:r>
      <w:r>
        <w:rPr>
          <w:rFonts w:hint="eastAsia" w:ascii="Times New Roman" w:hAnsi="Times New Roman" w:eastAsia="仿宋_GB2312" w:cs="Times New Roman"/>
          <w:sz w:val="32"/>
          <w:szCs w:val="32"/>
          <w:highlight w:val="none"/>
          <w:lang w:val="en-US" w:eastAsia="zh-CN"/>
        </w:rPr>
        <w:t>760.72</w:t>
      </w:r>
      <w:r>
        <w:rPr>
          <w:rFonts w:hint="eastAsia" w:ascii="Times New Roman" w:hAnsi="Times New Roman" w:eastAsia="仿宋_GB2312" w:cs="Times New Roman"/>
          <w:sz w:val="32"/>
          <w:szCs w:val="32"/>
          <w:highlight w:val="none"/>
          <w:lang w:eastAsia="zh-CN"/>
        </w:rPr>
        <w:t>万元、</w:t>
      </w:r>
      <w:r>
        <w:rPr>
          <w:rFonts w:hint="eastAsia" w:ascii="Times New Roman" w:hAnsi="Times New Roman" w:eastAsia="仿宋_GB2312" w:cs="Times New Roman"/>
          <w:sz w:val="32"/>
          <w:szCs w:val="32"/>
          <w:highlight w:val="none"/>
        </w:rPr>
        <w:t>交通运输支出</w:t>
      </w:r>
      <w:r>
        <w:rPr>
          <w:rFonts w:hint="eastAsia" w:ascii="Times New Roman" w:hAnsi="Times New Roman" w:eastAsia="仿宋_GB2312" w:cs="Times New Roman"/>
          <w:sz w:val="32"/>
          <w:szCs w:val="32"/>
          <w:highlight w:val="none"/>
          <w:lang w:val="en-US" w:eastAsia="zh-CN"/>
        </w:rPr>
        <w:t>12.02</w:t>
      </w:r>
      <w:r>
        <w:rPr>
          <w:rFonts w:hint="eastAsia" w:ascii="Times New Roman" w:hAnsi="Times New Roman" w:eastAsia="仿宋_GB2312" w:cs="Times New Roman"/>
          <w:sz w:val="32"/>
          <w:szCs w:val="32"/>
          <w:highlight w:val="none"/>
          <w:lang w:eastAsia="zh-CN"/>
        </w:rPr>
        <w:t>万元、</w:t>
      </w:r>
      <w:r>
        <w:rPr>
          <w:rFonts w:hint="eastAsia" w:ascii="Times New Roman" w:hAnsi="Times New Roman" w:eastAsia="仿宋_GB2312" w:cs="Times New Roman"/>
          <w:sz w:val="32"/>
          <w:szCs w:val="32"/>
          <w:highlight w:val="none"/>
        </w:rPr>
        <w:t>住房保障支出</w:t>
      </w:r>
      <w:r>
        <w:rPr>
          <w:rFonts w:hint="eastAsia" w:ascii="Times New Roman" w:hAnsi="Times New Roman" w:eastAsia="仿宋_GB2312" w:cs="Times New Roman"/>
          <w:sz w:val="32"/>
          <w:szCs w:val="32"/>
          <w:highlight w:val="none"/>
          <w:lang w:val="en-US" w:eastAsia="zh-CN"/>
        </w:rPr>
        <w:t>103.53</w:t>
      </w:r>
      <w:r>
        <w:rPr>
          <w:rFonts w:hint="eastAsia"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w:t>
      </w:r>
    </w:p>
    <w:p w14:paraId="5D2F4868">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14:paraId="466F8F01">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14:paraId="3C431440">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观塘镇2025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val="en-US" w:eastAsia="zh-CN"/>
        </w:rPr>
        <w:t>1720.24</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u w:val="none"/>
          <w:lang w:val="en-US" w:eastAsia="zh-CN"/>
        </w:rPr>
        <w:t>61.2</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eastAsia="zh-CN"/>
        </w:rPr>
        <w:t>人员经费增加</w:t>
      </w:r>
      <w:r>
        <w:rPr>
          <w:rFonts w:hint="default" w:ascii="Times New Roman" w:hAnsi="Times New Roman" w:eastAsia="仿宋_GB2312" w:cs="Times New Roman"/>
          <w:sz w:val="32"/>
          <w:szCs w:val="32"/>
          <w:highlight w:val="none"/>
        </w:rPr>
        <w:t>。</w:t>
      </w:r>
    </w:p>
    <w:p w14:paraId="7CFE2097">
      <w:pPr>
        <w:suppressAutoHyphens/>
        <w:bidi w:val="0"/>
        <w:spacing w:line="58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（二）一般公共预算当年拨款结构情况</w:t>
      </w:r>
    </w:p>
    <w:p w14:paraId="446281E2">
      <w:pPr>
        <w:spacing w:line="580" w:lineRule="exact"/>
        <w:ind w:firstLine="640" w:firstLineChars="200"/>
        <w:rPr>
          <w:rFonts w:hint="default"/>
          <w:color w:val="auto"/>
        </w:rPr>
      </w:pPr>
      <w:r>
        <w:rPr>
          <w:rFonts w:hint="eastAsia" w:ascii="Times New Roman" w:hAnsi="Times New Roman" w:eastAsia="仿宋_GB2312" w:cs="Times New Roman"/>
          <w:color w:val="auto"/>
          <w:sz w:val="32"/>
          <w:szCs w:val="32"/>
          <w:highlight w:val="none"/>
        </w:rPr>
        <w:t>一般公共服务支出</w:t>
      </w:r>
      <w:r>
        <w:rPr>
          <w:rFonts w:hint="eastAsia" w:ascii="Times New Roman" w:hAnsi="Times New Roman" w:eastAsia="仿宋_GB2312" w:cs="Times New Roman"/>
          <w:color w:val="auto"/>
          <w:sz w:val="32"/>
          <w:szCs w:val="32"/>
          <w:highlight w:val="none"/>
          <w:lang w:val="en-US" w:eastAsia="zh-CN"/>
        </w:rPr>
        <w:t>767.36</w:t>
      </w:r>
      <w:r>
        <w:rPr>
          <w:rFonts w:hint="eastAsia"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，占</w:t>
      </w:r>
      <w:r>
        <w:rPr>
          <w:rFonts w:hint="eastAsia" w:ascii="Times New Roman" w:hAnsi="Times New Roman" w:eastAsia="仿宋_GB2312" w:cs="Times New Roman"/>
          <w:color w:val="auto"/>
          <w:sz w:val="32"/>
          <w:szCs w:val="32"/>
          <w:highlight w:val="none"/>
          <w:lang w:val="en-US" w:eastAsia="zh-CN"/>
        </w:rPr>
        <w:t>41.83%</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文化体育与传媒支出</w:t>
      </w:r>
      <w:r>
        <w:rPr>
          <w:rFonts w:hint="eastAsia" w:ascii="Times New Roman" w:hAnsi="Times New Roman" w:eastAsia="仿宋_GB2312" w:cs="Times New Roman"/>
          <w:color w:val="auto"/>
          <w:sz w:val="32"/>
          <w:szCs w:val="32"/>
          <w:highlight w:val="none"/>
          <w:lang w:val="en-US" w:eastAsia="zh-CN"/>
        </w:rPr>
        <w:t>25.14</w:t>
      </w:r>
      <w:r>
        <w:rPr>
          <w:rFonts w:hint="eastAsia" w:ascii="Times New Roman" w:hAnsi="Times New Roman" w:eastAsia="仿宋_GB2312" w:cs="Times New Roman"/>
          <w:color w:val="auto"/>
          <w:sz w:val="32"/>
          <w:szCs w:val="32"/>
          <w:highlight w:val="none"/>
          <w:lang w:eastAsia="zh-CN"/>
        </w:rPr>
        <w:t>万元，占</w:t>
      </w:r>
      <w:r>
        <w:rPr>
          <w:rFonts w:hint="eastAsia" w:ascii="Times New Roman" w:hAnsi="Times New Roman" w:eastAsia="仿宋_GB2312" w:cs="Times New Roman"/>
          <w:color w:val="auto"/>
          <w:sz w:val="32"/>
          <w:szCs w:val="32"/>
          <w:highlight w:val="none"/>
          <w:lang w:val="en-US" w:eastAsia="zh-CN"/>
        </w:rPr>
        <w:t>1.33%</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社会保障和就业支出</w:t>
      </w:r>
      <w:r>
        <w:rPr>
          <w:rFonts w:hint="eastAsia" w:ascii="Times New Roman" w:hAnsi="Times New Roman" w:eastAsia="仿宋_GB2312" w:cs="Times New Roman"/>
          <w:color w:val="auto"/>
          <w:sz w:val="32"/>
          <w:szCs w:val="32"/>
          <w:highlight w:val="none"/>
          <w:lang w:val="en-US" w:eastAsia="zh-CN"/>
        </w:rPr>
        <w:t>119.89</w:t>
      </w:r>
      <w:r>
        <w:rPr>
          <w:rFonts w:hint="eastAsia"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，占</w:t>
      </w:r>
      <w:r>
        <w:rPr>
          <w:rFonts w:hint="eastAsia" w:ascii="Times New Roman" w:hAnsi="Times New Roman" w:eastAsia="仿宋_GB2312" w:cs="Times New Roman"/>
          <w:color w:val="auto"/>
          <w:sz w:val="32"/>
          <w:szCs w:val="32"/>
          <w:highlight w:val="none"/>
          <w:lang w:val="en-US" w:eastAsia="zh-CN"/>
        </w:rPr>
        <w:t>6.33%</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卫生健康支出</w:t>
      </w:r>
      <w:r>
        <w:rPr>
          <w:rFonts w:hint="eastAsia" w:ascii="Times New Roman" w:hAnsi="Times New Roman" w:eastAsia="仿宋_GB2312" w:cs="Times New Roman"/>
          <w:color w:val="auto"/>
          <w:sz w:val="32"/>
          <w:szCs w:val="32"/>
          <w:highlight w:val="none"/>
          <w:lang w:val="en-US" w:eastAsia="zh-CN"/>
        </w:rPr>
        <w:t>43.64</w:t>
      </w:r>
      <w:r>
        <w:rPr>
          <w:rFonts w:hint="eastAsia"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，占2.3</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城乡社区支出</w:t>
      </w:r>
      <w:r>
        <w:rPr>
          <w:rFonts w:hint="eastAsia" w:ascii="Times New Roman" w:hAnsi="Times New Roman" w:eastAsia="仿宋_GB2312" w:cs="Times New Roman"/>
          <w:color w:val="auto"/>
          <w:sz w:val="32"/>
          <w:szCs w:val="32"/>
          <w:highlight w:val="none"/>
          <w:lang w:val="en-US" w:eastAsia="zh-CN"/>
        </w:rPr>
        <w:t>63.32</w:t>
      </w:r>
      <w:r>
        <w:rPr>
          <w:rFonts w:hint="eastAsia" w:ascii="Times New Roman" w:hAnsi="Times New Roman" w:eastAsia="仿宋_GB2312" w:cs="Times New Roman"/>
          <w:color w:val="auto"/>
          <w:sz w:val="32"/>
          <w:szCs w:val="32"/>
          <w:highlight w:val="none"/>
          <w:lang w:eastAsia="zh-CN"/>
        </w:rPr>
        <w:t>万元，占</w:t>
      </w:r>
      <w:r>
        <w:rPr>
          <w:rFonts w:hint="eastAsia" w:ascii="Times New Roman" w:hAnsi="Times New Roman" w:eastAsia="仿宋_GB2312" w:cs="Times New Roman"/>
          <w:color w:val="auto"/>
          <w:sz w:val="32"/>
          <w:szCs w:val="32"/>
          <w:highlight w:val="none"/>
          <w:lang w:val="en-US" w:eastAsia="zh-CN"/>
        </w:rPr>
        <w:t>3.34%</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农林水支出</w:t>
      </w:r>
      <w:r>
        <w:rPr>
          <w:rFonts w:hint="eastAsia" w:ascii="Times New Roman" w:hAnsi="Times New Roman" w:eastAsia="仿宋_GB2312" w:cs="Times New Roman"/>
          <w:color w:val="auto"/>
          <w:sz w:val="32"/>
          <w:szCs w:val="32"/>
          <w:highlight w:val="none"/>
          <w:lang w:val="en-US" w:eastAsia="zh-CN"/>
        </w:rPr>
        <w:t>760.72</w:t>
      </w:r>
      <w:r>
        <w:rPr>
          <w:rFonts w:hint="eastAsia" w:ascii="Times New Roman" w:hAnsi="Times New Roman" w:eastAsia="仿宋_GB2312" w:cs="Times New Roman"/>
          <w:color w:val="auto"/>
          <w:sz w:val="32"/>
          <w:szCs w:val="32"/>
          <w:highlight w:val="none"/>
          <w:lang w:eastAsia="zh-CN"/>
        </w:rPr>
        <w:t>万元，占</w:t>
      </w:r>
      <w:r>
        <w:rPr>
          <w:rFonts w:hint="eastAsia" w:ascii="Times New Roman" w:hAnsi="Times New Roman" w:eastAsia="仿宋_GB2312" w:cs="Times New Roman"/>
          <w:color w:val="auto"/>
          <w:sz w:val="32"/>
          <w:szCs w:val="32"/>
          <w:highlight w:val="none"/>
          <w:lang w:val="en-US" w:eastAsia="zh-CN"/>
        </w:rPr>
        <w:t>40.15%</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交通运输支出</w:t>
      </w:r>
      <w:r>
        <w:rPr>
          <w:rFonts w:hint="eastAsia" w:ascii="Times New Roman" w:hAnsi="Times New Roman" w:eastAsia="仿宋_GB2312" w:cs="Times New Roman"/>
          <w:color w:val="auto"/>
          <w:sz w:val="32"/>
          <w:szCs w:val="32"/>
          <w:highlight w:val="none"/>
          <w:lang w:val="en-US" w:eastAsia="zh-CN"/>
        </w:rPr>
        <w:t>12.02</w:t>
      </w:r>
      <w:r>
        <w:rPr>
          <w:rFonts w:hint="eastAsia" w:ascii="Times New Roman" w:hAnsi="Times New Roman" w:eastAsia="仿宋_GB2312" w:cs="Times New Roman"/>
          <w:color w:val="auto"/>
          <w:sz w:val="32"/>
          <w:szCs w:val="32"/>
          <w:highlight w:val="none"/>
          <w:lang w:eastAsia="zh-CN"/>
        </w:rPr>
        <w:t>万元，占</w:t>
      </w:r>
      <w:r>
        <w:rPr>
          <w:rFonts w:hint="eastAsia" w:ascii="Times New Roman" w:hAnsi="Times New Roman" w:eastAsia="仿宋_GB2312" w:cs="Times New Roman"/>
          <w:color w:val="auto"/>
          <w:sz w:val="32"/>
          <w:szCs w:val="32"/>
          <w:highlight w:val="none"/>
          <w:lang w:val="en-US" w:eastAsia="zh-CN"/>
        </w:rPr>
        <w:t>0.06%</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住房保障支出</w:t>
      </w:r>
      <w:r>
        <w:rPr>
          <w:rFonts w:hint="eastAsia" w:ascii="Times New Roman" w:hAnsi="Times New Roman" w:eastAsia="仿宋_GB2312" w:cs="Times New Roman"/>
          <w:color w:val="auto"/>
          <w:sz w:val="32"/>
          <w:szCs w:val="32"/>
          <w:highlight w:val="none"/>
          <w:lang w:val="en-US" w:eastAsia="zh-CN"/>
        </w:rPr>
        <w:t>103.53</w:t>
      </w:r>
      <w:r>
        <w:rPr>
          <w:rFonts w:hint="eastAsia"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，占</w:t>
      </w:r>
      <w:r>
        <w:rPr>
          <w:rFonts w:hint="eastAsia" w:ascii="Times New Roman" w:hAnsi="Times New Roman" w:eastAsia="仿宋_GB2312" w:cs="Times New Roman"/>
          <w:color w:val="auto"/>
          <w:sz w:val="32"/>
          <w:szCs w:val="32"/>
          <w:highlight w:val="none"/>
          <w:lang w:val="en-US" w:eastAsia="zh-CN"/>
        </w:rPr>
        <w:t>5.46%。</w:t>
      </w:r>
    </w:p>
    <w:p w14:paraId="1E843851">
      <w:pPr>
        <w:suppressAutoHyphens/>
        <w:bidi w:val="0"/>
        <w:spacing w:line="58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（三）一般公共预算当年拨款具体使用情况</w:t>
      </w:r>
    </w:p>
    <w:p w14:paraId="0F4C2F2F">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1.一般公共服务（类）</w:t>
      </w:r>
      <w:r>
        <w:rPr>
          <w:rFonts w:hint="eastAsia" w:ascii="Times New Roman" w:hAnsi="Times New Roman" w:eastAsia="仿宋_GB2312" w:cs="Times New Roman"/>
          <w:color w:val="auto"/>
          <w:sz w:val="32"/>
          <w:szCs w:val="32"/>
          <w:highlight w:val="none"/>
          <w:lang w:eastAsia="zh-CN"/>
        </w:rPr>
        <w:t>人大</w:t>
      </w:r>
      <w:r>
        <w:rPr>
          <w:rFonts w:hint="eastAsia" w:ascii="Times New Roman" w:hAnsi="Times New Roman" w:eastAsia="仿宋_GB2312" w:cs="Times New Roman"/>
          <w:color w:val="auto"/>
          <w:sz w:val="32"/>
          <w:szCs w:val="32"/>
          <w:highlight w:val="none"/>
        </w:rPr>
        <w:t>事务（款）行政运行（项）</w:t>
      </w:r>
      <w:r>
        <w:rPr>
          <w:rFonts w:hint="eastAsia" w:ascii="Times New Roman" w:hAnsi="Times New Roman" w:eastAsia="仿宋_GB2312" w:cs="Times New Roman"/>
          <w:color w:val="auto"/>
          <w:sz w:val="32"/>
          <w:szCs w:val="32"/>
          <w:highlight w:val="none"/>
          <w:lang w:eastAsia="zh-CN"/>
        </w:rPr>
        <w:t>2025年</w:t>
      </w:r>
      <w:r>
        <w:rPr>
          <w:rFonts w:hint="eastAsia" w:ascii="Times New Roman" w:hAnsi="Times New Roman" w:eastAsia="仿宋_GB2312" w:cs="Times New Roman"/>
          <w:color w:val="auto"/>
          <w:sz w:val="32"/>
          <w:szCs w:val="32"/>
          <w:highlight w:val="none"/>
        </w:rPr>
        <w:t>预算数为</w:t>
      </w:r>
      <w:r>
        <w:rPr>
          <w:rFonts w:hint="eastAsia" w:ascii="Times New Roman" w:hAnsi="Times New Roman" w:eastAsia="仿宋_GB2312" w:cs="Times New Roman"/>
          <w:color w:val="auto"/>
          <w:sz w:val="32"/>
          <w:szCs w:val="32"/>
          <w:highlight w:val="none"/>
          <w:lang w:val="en-US" w:eastAsia="zh-CN"/>
        </w:rPr>
        <w:t>5.51</w:t>
      </w:r>
      <w:r>
        <w:rPr>
          <w:rFonts w:hint="eastAsia" w:ascii="Times New Roman" w:hAnsi="Times New Roman" w:eastAsia="仿宋_GB2312" w:cs="Times New Roman"/>
          <w:color w:val="auto"/>
          <w:sz w:val="32"/>
          <w:szCs w:val="32"/>
          <w:highlight w:val="none"/>
        </w:rPr>
        <w:t>万元，主要用于：</w:t>
      </w:r>
      <w:r>
        <w:rPr>
          <w:rFonts w:hint="eastAsia" w:ascii="Times New Roman" w:hAnsi="Times New Roman" w:eastAsia="仿宋_GB2312" w:cs="Times New Roman"/>
          <w:color w:val="auto"/>
          <w:sz w:val="32"/>
          <w:szCs w:val="32"/>
          <w:highlight w:val="none"/>
          <w:lang w:eastAsia="zh-CN"/>
        </w:rPr>
        <w:t>人大基本工资</w:t>
      </w:r>
      <w:r>
        <w:rPr>
          <w:rFonts w:hint="eastAsia" w:ascii="Times New Roman" w:hAnsi="Times New Roman" w:eastAsia="仿宋_GB2312" w:cs="Times New Roman"/>
          <w:color w:val="auto"/>
          <w:sz w:val="32"/>
          <w:szCs w:val="32"/>
          <w:highlight w:val="none"/>
        </w:rPr>
        <w:t>。</w:t>
      </w:r>
    </w:p>
    <w:p w14:paraId="681E417C">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2.一般公共服务（类）</w:t>
      </w:r>
      <w:r>
        <w:rPr>
          <w:rFonts w:hint="eastAsia" w:ascii="Times New Roman" w:hAnsi="Times New Roman" w:eastAsia="仿宋_GB2312" w:cs="Times New Roman"/>
          <w:color w:val="auto"/>
          <w:sz w:val="32"/>
          <w:szCs w:val="32"/>
          <w:highlight w:val="none"/>
          <w:lang w:eastAsia="zh-CN"/>
        </w:rPr>
        <w:t>人大</w:t>
      </w:r>
      <w:r>
        <w:rPr>
          <w:rFonts w:hint="eastAsia" w:ascii="Times New Roman" w:hAnsi="Times New Roman" w:eastAsia="仿宋_GB2312" w:cs="Times New Roman"/>
          <w:color w:val="auto"/>
          <w:sz w:val="32"/>
          <w:szCs w:val="32"/>
          <w:highlight w:val="none"/>
        </w:rPr>
        <w:t>事务（款）</w:t>
      </w:r>
      <w:r>
        <w:rPr>
          <w:rFonts w:hint="eastAsia" w:ascii="Times New Roman" w:hAnsi="Times New Roman" w:eastAsia="仿宋_GB2312" w:cs="Times New Roman"/>
          <w:color w:val="auto"/>
          <w:sz w:val="32"/>
          <w:szCs w:val="32"/>
          <w:highlight w:val="none"/>
          <w:lang w:eastAsia="zh-CN"/>
        </w:rPr>
        <w:t>代表工作</w:t>
      </w:r>
      <w:r>
        <w:rPr>
          <w:rFonts w:hint="eastAsia" w:ascii="Times New Roman" w:hAnsi="Times New Roman" w:eastAsia="仿宋_GB2312" w:cs="Times New Roman"/>
          <w:color w:val="auto"/>
          <w:sz w:val="32"/>
          <w:szCs w:val="32"/>
          <w:highlight w:val="none"/>
        </w:rPr>
        <w:t>（项）</w:t>
      </w:r>
      <w:r>
        <w:rPr>
          <w:rFonts w:hint="eastAsia" w:ascii="Times New Roman" w:hAnsi="Times New Roman" w:eastAsia="仿宋_GB2312" w:cs="Times New Roman"/>
          <w:color w:val="auto"/>
          <w:sz w:val="32"/>
          <w:szCs w:val="32"/>
          <w:highlight w:val="none"/>
          <w:lang w:eastAsia="zh-CN"/>
        </w:rPr>
        <w:t>2025年</w:t>
      </w:r>
      <w:r>
        <w:rPr>
          <w:rFonts w:hint="eastAsia" w:ascii="Times New Roman" w:hAnsi="Times New Roman" w:eastAsia="仿宋_GB2312" w:cs="Times New Roman"/>
          <w:color w:val="auto"/>
          <w:sz w:val="32"/>
          <w:szCs w:val="32"/>
          <w:highlight w:val="none"/>
        </w:rPr>
        <w:t>预算数为</w:t>
      </w:r>
      <w:r>
        <w:rPr>
          <w:rFonts w:hint="eastAsia" w:ascii="Times New Roman" w:hAnsi="Times New Roman" w:eastAsia="仿宋_GB2312" w:cs="Times New Roman"/>
          <w:color w:val="auto"/>
          <w:sz w:val="32"/>
          <w:szCs w:val="32"/>
          <w:highlight w:val="none"/>
          <w:lang w:val="en-US" w:eastAsia="zh-CN"/>
        </w:rPr>
        <w:t>3.3</w:t>
      </w:r>
      <w:r>
        <w:rPr>
          <w:rFonts w:hint="eastAsia" w:ascii="Times New Roman" w:hAnsi="Times New Roman" w:eastAsia="仿宋_GB2312" w:cs="Times New Roman"/>
          <w:color w:val="auto"/>
          <w:sz w:val="32"/>
          <w:szCs w:val="32"/>
          <w:highlight w:val="none"/>
        </w:rPr>
        <w:t>万元，主要用于：</w:t>
      </w:r>
      <w:r>
        <w:rPr>
          <w:rFonts w:hint="eastAsia" w:ascii="Times New Roman" w:hAnsi="Times New Roman" w:eastAsia="仿宋_GB2312" w:cs="Times New Roman"/>
          <w:color w:val="auto"/>
          <w:sz w:val="32"/>
          <w:szCs w:val="32"/>
          <w:highlight w:val="none"/>
          <w:lang w:eastAsia="zh-CN"/>
        </w:rPr>
        <w:t>镇人大代表履职补助</w:t>
      </w:r>
      <w:r>
        <w:rPr>
          <w:rFonts w:hint="eastAsia" w:ascii="Times New Roman" w:hAnsi="Times New Roman" w:eastAsia="仿宋_GB2312" w:cs="Times New Roman"/>
          <w:color w:val="auto"/>
          <w:sz w:val="32"/>
          <w:szCs w:val="32"/>
          <w:highlight w:val="none"/>
        </w:rPr>
        <w:t>。</w:t>
      </w:r>
    </w:p>
    <w:p w14:paraId="309C7A2A">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3.一般公共服务（类）</w:t>
      </w:r>
      <w:r>
        <w:rPr>
          <w:rFonts w:hint="default" w:ascii="Times New Roman" w:hAnsi="Times New Roman" w:eastAsia="仿宋_GB2312" w:cs="Times New Roman"/>
          <w:color w:val="auto"/>
          <w:sz w:val="32"/>
          <w:szCs w:val="32"/>
          <w:highlight w:val="none"/>
          <w:lang w:eastAsia="zh-CN"/>
        </w:rPr>
        <w:t>政府办公厅(室)及相关机构事务</w:t>
      </w:r>
      <w:r>
        <w:rPr>
          <w:rFonts w:hint="eastAsia" w:ascii="Times New Roman" w:hAnsi="Times New Roman" w:eastAsia="仿宋_GB2312" w:cs="Times New Roman"/>
          <w:color w:val="auto"/>
          <w:sz w:val="32"/>
          <w:szCs w:val="32"/>
          <w:highlight w:val="none"/>
          <w:lang w:eastAsia="zh-CN"/>
        </w:rPr>
        <w:t>（款）</w:t>
      </w:r>
      <w:r>
        <w:rPr>
          <w:rFonts w:hint="default" w:ascii="Times New Roman" w:hAnsi="Times New Roman" w:eastAsia="仿宋_GB2312" w:cs="Times New Roman"/>
          <w:color w:val="auto"/>
          <w:sz w:val="32"/>
          <w:szCs w:val="32"/>
          <w:highlight w:val="none"/>
          <w:lang w:eastAsia="zh-CN"/>
        </w:rPr>
        <w:t>行政运行</w:t>
      </w:r>
      <w:r>
        <w:rPr>
          <w:rFonts w:hint="eastAsia" w:ascii="Times New Roman" w:hAnsi="Times New Roman" w:eastAsia="仿宋_GB2312" w:cs="Times New Roman"/>
          <w:color w:val="auto"/>
          <w:sz w:val="32"/>
          <w:szCs w:val="32"/>
          <w:highlight w:val="none"/>
          <w:lang w:eastAsia="zh-CN"/>
        </w:rPr>
        <w:t>（项）2025年</w:t>
      </w:r>
      <w:r>
        <w:rPr>
          <w:rFonts w:hint="eastAsia" w:ascii="Times New Roman" w:hAnsi="Times New Roman" w:eastAsia="仿宋_GB2312" w:cs="Times New Roman"/>
          <w:color w:val="auto"/>
          <w:sz w:val="32"/>
          <w:szCs w:val="32"/>
          <w:highlight w:val="none"/>
        </w:rPr>
        <w:t>预算数为</w:t>
      </w:r>
      <w:r>
        <w:rPr>
          <w:rFonts w:hint="eastAsia" w:ascii="Times New Roman" w:hAnsi="Times New Roman" w:eastAsia="仿宋_GB2312" w:cs="Times New Roman"/>
          <w:color w:val="auto"/>
          <w:sz w:val="32"/>
          <w:szCs w:val="32"/>
          <w:highlight w:val="none"/>
          <w:lang w:val="en-US" w:eastAsia="zh-CN"/>
        </w:rPr>
        <w:t>351.68</w:t>
      </w:r>
      <w:r>
        <w:rPr>
          <w:rFonts w:hint="eastAsia" w:ascii="Times New Roman" w:hAnsi="Times New Roman" w:eastAsia="仿宋_GB2312" w:cs="Times New Roman"/>
          <w:color w:val="auto"/>
          <w:sz w:val="32"/>
          <w:szCs w:val="32"/>
          <w:highlight w:val="none"/>
        </w:rPr>
        <w:t>万元，主要用于：</w:t>
      </w:r>
      <w:r>
        <w:rPr>
          <w:rFonts w:hint="eastAsia" w:ascii="Times New Roman" w:hAnsi="Times New Roman" w:eastAsia="仿宋_GB2312" w:cs="Times New Roman"/>
          <w:color w:val="auto"/>
          <w:sz w:val="32"/>
          <w:szCs w:val="32"/>
          <w:highlight w:val="none"/>
          <w:lang w:eastAsia="zh-CN"/>
        </w:rPr>
        <w:t>政府基本工资、行政人员津贴补贴、基础绩效奖等人员经费及办公费、差旅费等日常公用经费</w:t>
      </w:r>
      <w:r>
        <w:rPr>
          <w:rFonts w:hint="eastAsia" w:ascii="Times New Roman" w:hAnsi="Times New Roman" w:eastAsia="仿宋_GB2312" w:cs="Times New Roman"/>
          <w:color w:val="auto"/>
          <w:sz w:val="32"/>
          <w:szCs w:val="32"/>
          <w:highlight w:val="none"/>
        </w:rPr>
        <w:t>。</w:t>
      </w:r>
    </w:p>
    <w:p w14:paraId="7DC70BD3">
      <w:pPr>
        <w:suppressAutoHyphens/>
        <w:bidi w:val="0"/>
        <w:spacing w:line="580" w:lineRule="exact"/>
        <w:ind w:firstLine="640" w:firstLineChars="200"/>
        <w:rPr>
          <w:rFonts w:hint="eastAsia" w:ascii="Times New Roman" w:hAnsi="Times New Roman" w:eastAsia="仿宋_GB2312" w:cs="Times New Roman"/>
          <w:color w:val="auto"/>
          <w:sz w:val="32"/>
          <w:szCs w:val="32"/>
          <w:highlight w:val="cyan"/>
          <w:lang w:eastAsia="zh-CN"/>
        </w:rPr>
      </w:pP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一般公共服务（类）</w:t>
      </w:r>
      <w:r>
        <w:rPr>
          <w:rFonts w:hint="default" w:ascii="Times New Roman" w:hAnsi="Times New Roman" w:eastAsia="仿宋_GB2312" w:cs="Times New Roman"/>
          <w:color w:val="auto"/>
          <w:sz w:val="32"/>
          <w:szCs w:val="32"/>
          <w:highlight w:val="none"/>
          <w:lang w:eastAsia="zh-CN"/>
        </w:rPr>
        <w:t>政府办公厅(室)及相关机构事务</w:t>
      </w:r>
      <w:r>
        <w:rPr>
          <w:rFonts w:hint="eastAsia" w:ascii="Times New Roman" w:hAnsi="Times New Roman" w:eastAsia="仿宋_GB2312" w:cs="Times New Roman"/>
          <w:color w:val="auto"/>
          <w:sz w:val="32"/>
          <w:szCs w:val="32"/>
          <w:highlight w:val="none"/>
          <w:lang w:eastAsia="zh-CN"/>
        </w:rPr>
        <w:t>（款）</w:t>
      </w:r>
      <w:r>
        <w:rPr>
          <w:rFonts w:hint="default" w:ascii="Times New Roman" w:hAnsi="Times New Roman" w:eastAsia="仿宋_GB2312" w:cs="Times New Roman"/>
          <w:color w:val="auto"/>
          <w:sz w:val="32"/>
          <w:szCs w:val="32"/>
          <w:highlight w:val="none"/>
          <w:lang w:eastAsia="zh-CN"/>
        </w:rPr>
        <w:t>一般行政管理事务</w:t>
      </w:r>
      <w:r>
        <w:rPr>
          <w:rFonts w:hint="eastAsia" w:ascii="Times New Roman" w:hAnsi="Times New Roman" w:eastAsia="仿宋_GB2312" w:cs="Times New Roman"/>
          <w:color w:val="auto"/>
          <w:sz w:val="32"/>
          <w:szCs w:val="32"/>
          <w:highlight w:val="none"/>
          <w:lang w:eastAsia="zh-CN"/>
        </w:rPr>
        <w:t>（项）2025年</w:t>
      </w:r>
      <w:r>
        <w:rPr>
          <w:rFonts w:hint="eastAsia" w:ascii="Times New Roman" w:hAnsi="Times New Roman" w:eastAsia="仿宋_GB2312" w:cs="Times New Roman"/>
          <w:color w:val="auto"/>
          <w:sz w:val="32"/>
          <w:szCs w:val="32"/>
          <w:highlight w:val="none"/>
        </w:rPr>
        <w:t>预算数为</w:t>
      </w:r>
      <w:r>
        <w:rPr>
          <w:rFonts w:hint="eastAsia" w:ascii="Times New Roman" w:hAnsi="Times New Roman" w:eastAsia="仿宋_GB2312" w:cs="Times New Roman"/>
          <w:color w:val="auto"/>
          <w:sz w:val="32"/>
          <w:szCs w:val="32"/>
          <w:highlight w:val="none"/>
          <w:lang w:val="en-US" w:eastAsia="zh-CN"/>
        </w:rPr>
        <w:t>22.12</w:t>
      </w:r>
      <w:r>
        <w:rPr>
          <w:rFonts w:hint="eastAsia" w:ascii="Times New Roman" w:hAnsi="Times New Roman" w:eastAsia="仿宋_GB2312" w:cs="Times New Roman"/>
          <w:color w:val="auto"/>
          <w:sz w:val="32"/>
          <w:szCs w:val="32"/>
          <w:highlight w:val="none"/>
        </w:rPr>
        <w:t>万元，主要用于：</w:t>
      </w:r>
      <w:r>
        <w:rPr>
          <w:rFonts w:hint="eastAsia" w:ascii="Times New Roman" w:hAnsi="Times New Roman" w:eastAsia="仿宋_GB2312" w:cs="Times New Roman"/>
          <w:color w:val="auto"/>
          <w:sz w:val="32"/>
          <w:szCs w:val="32"/>
          <w:highlight w:val="none"/>
          <w:lang w:eastAsia="zh-CN"/>
        </w:rPr>
        <w:t>安全生产工作；平安建设、信访维稳；社会应急处理等。</w:t>
      </w:r>
    </w:p>
    <w:p w14:paraId="6C406993">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5.一般公共服务（类）</w:t>
      </w:r>
      <w:r>
        <w:rPr>
          <w:rFonts w:hint="default" w:ascii="Times New Roman" w:hAnsi="Times New Roman" w:eastAsia="仿宋_GB2312" w:cs="Times New Roman"/>
          <w:color w:val="auto"/>
          <w:sz w:val="32"/>
          <w:szCs w:val="32"/>
          <w:highlight w:val="none"/>
          <w:lang w:val="en-US" w:eastAsia="zh-CN"/>
        </w:rPr>
        <w:t>政府办公厅(室)及相关机构事务</w:t>
      </w:r>
      <w:r>
        <w:rPr>
          <w:rFonts w:hint="eastAsia" w:ascii="Times New Roman" w:hAnsi="Times New Roman" w:eastAsia="仿宋_GB2312" w:cs="Times New Roman"/>
          <w:color w:val="auto"/>
          <w:sz w:val="32"/>
          <w:szCs w:val="32"/>
          <w:highlight w:val="none"/>
          <w:lang w:val="en-US" w:eastAsia="zh-CN"/>
        </w:rPr>
        <w:t>（款）事业运行（项）2025年预算数为332.28万元，主要用于：便民服务中心基本工资、事业人员绩效工资等。</w:t>
      </w:r>
    </w:p>
    <w:p w14:paraId="3D6C615D">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6.一般公共服务（类）</w:t>
      </w:r>
      <w:r>
        <w:rPr>
          <w:rFonts w:hint="default" w:ascii="Times New Roman" w:hAnsi="Times New Roman" w:eastAsia="仿宋_GB2312" w:cs="Times New Roman"/>
          <w:color w:val="auto"/>
          <w:sz w:val="32"/>
          <w:szCs w:val="32"/>
          <w:highlight w:val="none"/>
          <w:lang w:eastAsia="zh-CN"/>
        </w:rPr>
        <w:t>政府办公厅(室)及相关机构事务</w:t>
      </w:r>
      <w:r>
        <w:rPr>
          <w:rFonts w:hint="eastAsia" w:ascii="Times New Roman" w:hAnsi="Times New Roman" w:eastAsia="仿宋_GB2312" w:cs="Times New Roman"/>
          <w:color w:val="auto"/>
          <w:sz w:val="32"/>
          <w:szCs w:val="32"/>
          <w:highlight w:val="none"/>
          <w:lang w:eastAsia="zh-CN"/>
        </w:rPr>
        <w:t>（款）</w:t>
      </w:r>
      <w:r>
        <w:rPr>
          <w:rFonts w:hint="default" w:ascii="Times New Roman" w:hAnsi="Times New Roman" w:eastAsia="仿宋_GB2312" w:cs="Times New Roman"/>
          <w:color w:val="auto"/>
          <w:sz w:val="32"/>
          <w:szCs w:val="32"/>
          <w:highlight w:val="none"/>
          <w:lang w:val="en-US" w:eastAsia="zh-CN"/>
        </w:rPr>
        <w:t>其他政府办公厅（室）及相关机构事务</w:t>
      </w:r>
      <w:r>
        <w:rPr>
          <w:rFonts w:hint="eastAsia" w:ascii="Times New Roman" w:hAnsi="Times New Roman" w:eastAsia="仿宋_GB2312" w:cs="Times New Roman"/>
          <w:color w:val="auto"/>
          <w:sz w:val="32"/>
          <w:szCs w:val="32"/>
          <w:highlight w:val="none"/>
          <w:lang w:val="en-US" w:eastAsia="zh-CN"/>
        </w:rPr>
        <w:t>支出</w:t>
      </w:r>
      <w:r>
        <w:rPr>
          <w:rFonts w:hint="eastAsia" w:ascii="Times New Roman" w:hAnsi="Times New Roman" w:eastAsia="仿宋_GB2312" w:cs="Times New Roman"/>
          <w:color w:val="auto"/>
          <w:sz w:val="32"/>
          <w:szCs w:val="32"/>
          <w:highlight w:val="none"/>
          <w:lang w:eastAsia="zh-CN"/>
        </w:rPr>
        <w:t>（项）</w:t>
      </w:r>
      <w:r>
        <w:rPr>
          <w:rFonts w:hint="eastAsia" w:ascii="Times New Roman" w:hAnsi="Times New Roman" w:eastAsia="仿宋_GB2312" w:cs="Times New Roman"/>
          <w:color w:val="auto"/>
          <w:sz w:val="32"/>
          <w:szCs w:val="32"/>
          <w:highlight w:val="none"/>
          <w:lang w:val="en-US" w:eastAsia="zh-CN"/>
        </w:rPr>
        <w:t>2025年预算数为14.5万元，主要用于：人大、纪委、关工委及青妇的日常公用经费。</w:t>
      </w:r>
    </w:p>
    <w:p w14:paraId="04468F1F">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7.一般公共服务（类）</w:t>
      </w:r>
      <w:r>
        <w:rPr>
          <w:rFonts w:hint="default" w:ascii="Times New Roman" w:hAnsi="Times New Roman" w:eastAsia="仿宋_GB2312" w:cs="Times New Roman"/>
          <w:color w:val="auto"/>
          <w:sz w:val="32"/>
          <w:szCs w:val="32"/>
          <w:highlight w:val="none"/>
          <w:lang w:eastAsia="zh-CN"/>
        </w:rPr>
        <w:t>纪检监察事务</w:t>
      </w:r>
      <w:r>
        <w:rPr>
          <w:rFonts w:hint="eastAsia" w:ascii="Times New Roman" w:hAnsi="Times New Roman" w:eastAsia="仿宋_GB2312" w:cs="Times New Roman"/>
          <w:color w:val="auto"/>
          <w:sz w:val="32"/>
          <w:szCs w:val="32"/>
          <w:highlight w:val="none"/>
          <w:lang w:eastAsia="zh-CN"/>
        </w:rPr>
        <w:t>（款）</w:t>
      </w:r>
      <w:r>
        <w:rPr>
          <w:rFonts w:hint="default" w:ascii="Times New Roman" w:hAnsi="Times New Roman" w:eastAsia="仿宋_GB2312" w:cs="Times New Roman"/>
          <w:color w:val="auto"/>
          <w:sz w:val="32"/>
          <w:szCs w:val="32"/>
          <w:highlight w:val="none"/>
          <w:lang w:eastAsia="zh-CN"/>
        </w:rPr>
        <w:t>行政运行</w:t>
      </w:r>
      <w:r>
        <w:rPr>
          <w:rFonts w:hint="eastAsia" w:ascii="Times New Roman" w:hAnsi="Times New Roman" w:eastAsia="仿宋_GB2312" w:cs="Times New Roman"/>
          <w:color w:val="auto"/>
          <w:sz w:val="32"/>
          <w:szCs w:val="32"/>
          <w:highlight w:val="none"/>
          <w:lang w:eastAsia="zh-CN"/>
        </w:rPr>
        <w:t>（项）</w:t>
      </w:r>
      <w:r>
        <w:rPr>
          <w:rFonts w:hint="eastAsia" w:ascii="Times New Roman" w:hAnsi="Times New Roman" w:eastAsia="仿宋_GB2312" w:cs="Times New Roman"/>
          <w:color w:val="auto"/>
          <w:sz w:val="32"/>
          <w:szCs w:val="32"/>
          <w:highlight w:val="none"/>
          <w:lang w:val="en-US" w:eastAsia="zh-CN"/>
        </w:rPr>
        <w:t>2025年预算数为14.4万元，主要用于：村（居）纪检小组长及廉情监督员的生活补助。</w:t>
      </w:r>
    </w:p>
    <w:p w14:paraId="01ACE0CC">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8.一般公共服务（类）</w:t>
      </w:r>
      <w:r>
        <w:rPr>
          <w:rFonts w:hint="default" w:ascii="Times New Roman" w:hAnsi="Times New Roman" w:eastAsia="仿宋_GB2312" w:cs="Times New Roman"/>
          <w:color w:val="auto"/>
          <w:sz w:val="32"/>
          <w:szCs w:val="32"/>
          <w:highlight w:val="none"/>
          <w:lang w:eastAsia="zh-CN"/>
        </w:rPr>
        <w:t>党委办公厅(室)及相关机构事务</w:t>
      </w:r>
      <w:r>
        <w:rPr>
          <w:rFonts w:hint="eastAsia" w:ascii="Times New Roman" w:hAnsi="Times New Roman" w:eastAsia="仿宋_GB2312" w:cs="Times New Roman"/>
          <w:color w:val="auto"/>
          <w:sz w:val="32"/>
          <w:szCs w:val="32"/>
          <w:highlight w:val="none"/>
          <w:lang w:eastAsia="zh-CN"/>
        </w:rPr>
        <w:t>（款）</w:t>
      </w:r>
      <w:r>
        <w:rPr>
          <w:rFonts w:hint="default" w:ascii="Times New Roman" w:hAnsi="Times New Roman" w:eastAsia="仿宋_GB2312" w:cs="Times New Roman"/>
          <w:color w:val="auto"/>
          <w:sz w:val="32"/>
          <w:szCs w:val="32"/>
          <w:highlight w:val="none"/>
          <w:lang w:eastAsia="zh-CN"/>
        </w:rPr>
        <w:t>行政运行</w:t>
      </w:r>
      <w:r>
        <w:rPr>
          <w:rFonts w:hint="eastAsia" w:ascii="Times New Roman" w:hAnsi="Times New Roman" w:eastAsia="仿宋_GB2312" w:cs="Times New Roman"/>
          <w:color w:val="auto"/>
          <w:sz w:val="32"/>
          <w:szCs w:val="32"/>
          <w:highlight w:val="none"/>
          <w:lang w:eastAsia="zh-CN"/>
        </w:rPr>
        <w:t>（项）</w:t>
      </w:r>
      <w:r>
        <w:rPr>
          <w:rFonts w:hint="eastAsia" w:ascii="Times New Roman" w:hAnsi="Times New Roman" w:eastAsia="仿宋_GB2312" w:cs="Times New Roman"/>
          <w:color w:val="auto"/>
          <w:sz w:val="32"/>
          <w:szCs w:val="32"/>
          <w:highlight w:val="none"/>
          <w:lang w:val="en-US" w:eastAsia="zh-CN"/>
        </w:rPr>
        <w:t>2025年预算数为16.2万元，主要用于：党委基本工资。</w:t>
      </w:r>
    </w:p>
    <w:p w14:paraId="68717ADD">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eastAsia="zh-CN"/>
        </w:rPr>
        <w:t>文化旅游体育与传媒支出</w:t>
      </w:r>
      <w:r>
        <w:rPr>
          <w:rFonts w:hint="default" w:ascii="Times New Roman" w:hAnsi="Times New Roman" w:eastAsia="仿宋_GB2312" w:cs="Times New Roman"/>
          <w:color w:val="auto"/>
          <w:sz w:val="32"/>
          <w:szCs w:val="32"/>
          <w:highlight w:val="none"/>
        </w:rPr>
        <w:t>（类）</w:t>
      </w:r>
      <w:r>
        <w:rPr>
          <w:rFonts w:hint="default" w:ascii="Times New Roman" w:hAnsi="Times New Roman" w:eastAsia="仿宋_GB2312" w:cs="Times New Roman"/>
          <w:color w:val="auto"/>
          <w:sz w:val="32"/>
          <w:szCs w:val="32"/>
          <w:highlight w:val="none"/>
          <w:lang w:eastAsia="zh-CN"/>
        </w:rPr>
        <w:t>文化</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lang w:eastAsia="zh-CN"/>
        </w:rPr>
        <w:t>旅游</w:t>
      </w:r>
      <w:r>
        <w:rPr>
          <w:rFonts w:hint="eastAsia" w:ascii="Times New Roman" w:hAnsi="Times New Roman" w:eastAsia="仿宋_GB2312" w:cs="Times New Roman"/>
          <w:color w:val="auto"/>
          <w:sz w:val="32"/>
          <w:szCs w:val="32"/>
          <w:highlight w:val="none"/>
          <w:lang w:eastAsia="zh-CN"/>
        </w:rPr>
        <w:t>（款）</w:t>
      </w:r>
      <w:r>
        <w:rPr>
          <w:rFonts w:hint="default" w:ascii="Times New Roman" w:hAnsi="Times New Roman" w:eastAsia="仿宋_GB2312" w:cs="Times New Roman"/>
          <w:color w:val="auto"/>
          <w:sz w:val="32"/>
          <w:szCs w:val="32"/>
          <w:highlight w:val="none"/>
          <w:lang w:eastAsia="zh-CN"/>
        </w:rPr>
        <w:t>群众文化</w:t>
      </w:r>
      <w:r>
        <w:rPr>
          <w:rFonts w:hint="eastAsia" w:ascii="Times New Roman" w:hAnsi="Times New Roman" w:eastAsia="仿宋_GB2312" w:cs="Times New Roman"/>
          <w:color w:val="auto"/>
          <w:sz w:val="32"/>
          <w:szCs w:val="32"/>
          <w:highlight w:val="none"/>
          <w:lang w:eastAsia="zh-CN"/>
        </w:rPr>
        <w:t>（项）</w:t>
      </w:r>
      <w:r>
        <w:rPr>
          <w:rFonts w:hint="eastAsia" w:ascii="Times New Roman" w:hAnsi="Times New Roman" w:eastAsia="仿宋_GB2312" w:cs="Times New Roman"/>
          <w:color w:val="auto"/>
          <w:sz w:val="32"/>
          <w:szCs w:val="32"/>
          <w:highlight w:val="none"/>
          <w:lang w:val="en-US" w:eastAsia="zh-CN"/>
        </w:rPr>
        <w:t>2024年预算数为24.18万元，主要用于：宣传文化服务中心基本工资。</w:t>
      </w:r>
    </w:p>
    <w:p w14:paraId="3F023CA5">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eastAsia="zh-CN"/>
        </w:rPr>
        <w:t>文化旅游体育与传媒支出</w:t>
      </w:r>
      <w:r>
        <w:rPr>
          <w:rFonts w:hint="default"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val="en-US" w:eastAsia="zh-CN"/>
        </w:rPr>
        <w:t>文物（款）</w:t>
      </w:r>
      <w:r>
        <w:rPr>
          <w:rFonts w:hint="default" w:ascii="Times New Roman" w:hAnsi="Times New Roman" w:eastAsia="仿宋_GB2312" w:cs="Times New Roman"/>
          <w:color w:val="auto"/>
          <w:sz w:val="32"/>
          <w:szCs w:val="32"/>
          <w:highlight w:val="none"/>
          <w:lang w:eastAsia="zh-CN"/>
        </w:rPr>
        <w:t>文物保护</w:t>
      </w:r>
      <w:r>
        <w:rPr>
          <w:rFonts w:hint="eastAsia" w:ascii="Times New Roman" w:hAnsi="Times New Roman" w:eastAsia="仿宋_GB2312" w:cs="Times New Roman"/>
          <w:color w:val="auto"/>
          <w:sz w:val="32"/>
          <w:szCs w:val="32"/>
          <w:highlight w:val="none"/>
          <w:lang w:eastAsia="zh-CN"/>
        </w:rPr>
        <w:t>（项）</w:t>
      </w:r>
      <w:r>
        <w:rPr>
          <w:rFonts w:hint="eastAsia" w:ascii="Times New Roman" w:hAnsi="Times New Roman" w:eastAsia="仿宋_GB2312" w:cs="Times New Roman"/>
          <w:color w:val="auto"/>
          <w:sz w:val="32"/>
          <w:szCs w:val="32"/>
          <w:highlight w:val="none"/>
          <w:lang w:val="en-US" w:eastAsia="zh-CN"/>
        </w:rPr>
        <w:t>2025年预算数为0.96万元，主要用于：文物保护员生活补助。</w:t>
      </w:r>
    </w:p>
    <w:p w14:paraId="32DC8A90">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lang w:eastAsia="zh-CN"/>
        </w:rPr>
        <w:t>社会保障和就业支出</w:t>
      </w:r>
      <w:r>
        <w:rPr>
          <w:rFonts w:hint="default" w:ascii="Times New Roman" w:hAnsi="Times New Roman" w:eastAsia="仿宋_GB2312" w:cs="Times New Roman"/>
          <w:color w:val="auto"/>
          <w:sz w:val="32"/>
          <w:szCs w:val="32"/>
          <w:highlight w:val="none"/>
        </w:rPr>
        <w:t>（类）</w:t>
      </w:r>
      <w:r>
        <w:rPr>
          <w:rFonts w:hint="default" w:ascii="Times New Roman" w:hAnsi="Times New Roman" w:eastAsia="仿宋_GB2312" w:cs="Times New Roman"/>
          <w:color w:val="auto"/>
          <w:sz w:val="32"/>
          <w:szCs w:val="32"/>
          <w:highlight w:val="none"/>
          <w:lang w:eastAsia="zh-CN"/>
        </w:rPr>
        <w:t>人力资源和社会保障管理事务</w:t>
      </w:r>
      <w:r>
        <w:rPr>
          <w:rFonts w:hint="eastAsia" w:ascii="Times New Roman" w:hAnsi="Times New Roman" w:eastAsia="仿宋_GB2312" w:cs="Times New Roman"/>
          <w:color w:val="auto"/>
          <w:sz w:val="32"/>
          <w:szCs w:val="32"/>
          <w:highlight w:val="none"/>
          <w:lang w:eastAsia="zh-CN"/>
        </w:rPr>
        <w:t>（款）</w:t>
      </w:r>
      <w:r>
        <w:rPr>
          <w:rFonts w:hint="default" w:ascii="Times New Roman" w:hAnsi="Times New Roman" w:eastAsia="仿宋_GB2312" w:cs="Times New Roman"/>
          <w:color w:val="auto"/>
          <w:sz w:val="32"/>
          <w:szCs w:val="32"/>
          <w:highlight w:val="none"/>
          <w:lang w:eastAsia="zh-CN"/>
        </w:rPr>
        <w:t>其他人力资源和社会保障管理事务</w:t>
      </w:r>
      <w:r>
        <w:rPr>
          <w:rFonts w:hint="eastAsia" w:ascii="Times New Roman" w:hAnsi="Times New Roman" w:eastAsia="仿宋_GB2312" w:cs="Times New Roman"/>
          <w:color w:val="auto"/>
          <w:sz w:val="32"/>
          <w:szCs w:val="32"/>
          <w:highlight w:val="none"/>
          <w:lang w:eastAsia="zh-CN"/>
        </w:rPr>
        <w:t>支出（项）</w:t>
      </w:r>
      <w:r>
        <w:rPr>
          <w:rFonts w:hint="eastAsia" w:ascii="Times New Roman" w:hAnsi="Times New Roman" w:eastAsia="仿宋_GB2312" w:cs="Times New Roman"/>
          <w:color w:val="auto"/>
          <w:sz w:val="32"/>
          <w:szCs w:val="32"/>
          <w:highlight w:val="none"/>
          <w:lang w:val="en-US" w:eastAsia="zh-CN"/>
        </w:rPr>
        <w:t>2025年预算数为20万元，主要用于：便民服务中心基本工资等。</w:t>
      </w:r>
    </w:p>
    <w:p w14:paraId="166174EF">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lang w:eastAsia="zh-CN"/>
        </w:rPr>
        <w:t>社会保障和就业支出</w:t>
      </w:r>
      <w:r>
        <w:rPr>
          <w:rFonts w:hint="default"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val="en-US" w:eastAsia="zh-CN"/>
        </w:rPr>
        <w:t>行政事业单位养老支出（款）</w:t>
      </w:r>
      <w:r>
        <w:rPr>
          <w:rFonts w:hint="default" w:ascii="Times New Roman" w:hAnsi="Times New Roman" w:eastAsia="仿宋_GB2312" w:cs="Times New Roman"/>
          <w:color w:val="auto"/>
          <w:sz w:val="32"/>
          <w:szCs w:val="32"/>
          <w:highlight w:val="none"/>
          <w:lang w:eastAsia="zh-CN"/>
        </w:rPr>
        <w:t>机关事业单位基本养老保险缴费</w:t>
      </w:r>
      <w:r>
        <w:rPr>
          <w:rFonts w:hint="eastAsia" w:ascii="Times New Roman" w:hAnsi="Times New Roman" w:eastAsia="仿宋_GB2312" w:cs="Times New Roman"/>
          <w:color w:val="auto"/>
          <w:sz w:val="32"/>
          <w:szCs w:val="32"/>
          <w:highlight w:val="none"/>
          <w:lang w:eastAsia="zh-CN"/>
        </w:rPr>
        <w:t>支出（项）</w:t>
      </w:r>
      <w:r>
        <w:rPr>
          <w:rFonts w:hint="eastAsia" w:ascii="Times New Roman" w:hAnsi="Times New Roman" w:eastAsia="仿宋_GB2312" w:cs="Times New Roman"/>
          <w:color w:val="auto"/>
          <w:sz w:val="32"/>
          <w:szCs w:val="32"/>
          <w:highlight w:val="none"/>
          <w:lang w:val="en-US" w:eastAsia="zh-CN"/>
        </w:rPr>
        <w:t>2025年预算数为119.89万元，主要用于：行政事业单位基本养老保险缴费。</w:t>
      </w:r>
    </w:p>
    <w:p w14:paraId="7E7725F0">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卫生健康支出（类）</w:t>
      </w:r>
      <w:r>
        <w:rPr>
          <w:rFonts w:hint="eastAsia" w:ascii="Times New Roman" w:hAnsi="Times New Roman" w:eastAsia="仿宋_GB2312" w:cs="Times New Roman"/>
          <w:color w:val="auto"/>
          <w:sz w:val="32"/>
          <w:szCs w:val="32"/>
          <w:highlight w:val="none"/>
          <w:lang w:val="en-US" w:eastAsia="zh-CN"/>
        </w:rPr>
        <w:t>行政事业单位医疗（款）</w:t>
      </w:r>
      <w:r>
        <w:rPr>
          <w:rFonts w:hint="default" w:ascii="Times New Roman" w:hAnsi="Times New Roman" w:eastAsia="仿宋_GB2312" w:cs="Times New Roman"/>
          <w:color w:val="auto"/>
          <w:sz w:val="32"/>
          <w:szCs w:val="32"/>
          <w:highlight w:val="none"/>
          <w:lang w:eastAsia="zh-CN"/>
        </w:rPr>
        <w:t>行政单位医疗</w:t>
      </w:r>
      <w:r>
        <w:rPr>
          <w:rFonts w:hint="eastAsia" w:ascii="Times New Roman" w:hAnsi="Times New Roman" w:eastAsia="仿宋_GB2312" w:cs="Times New Roman"/>
          <w:color w:val="auto"/>
          <w:sz w:val="32"/>
          <w:szCs w:val="32"/>
          <w:highlight w:val="none"/>
          <w:lang w:eastAsia="zh-CN"/>
        </w:rPr>
        <w:t>（项）</w:t>
      </w:r>
      <w:r>
        <w:rPr>
          <w:rFonts w:hint="eastAsia" w:ascii="Times New Roman" w:hAnsi="Times New Roman" w:eastAsia="仿宋_GB2312" w:cs="Times New Roman"/>
          <w:color w:val="auto"/>
          <w:sz w:val="32"/>
          <w:szCs w:val="32"/>
          <w:highlight w:val="none"/>
          <w:lang w:val="en-US" w:eastAsia="zh-CN"/>
        </w:rPr>
        <w:t>2025年预算数为15.19万元，主要用于：行政人员基本医疗保险缴费。</w:t>
      </w:r>
    </w:p>
    <w:p w14:paraId="0788A8F1">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卫生健康支出（类）</w:t>
      </w:r>
      <w:r>
        <w:rPr>
          <w:rFonts w:hint="eastAsia" w:ascii="Times New Roman" w:hAnsi="Times New Roman" w:eastAsia="仿宋_GB2312" w:cs="Times New Roman"/>
          <w:color w:val="auto"/>
          <w:sz w:val="32"/>
          <w:szCs w:val="32"/>
          <w:highlight w:val="none"/>
          <w:lang w:val="en-US" w:eastAsia="zh-CN"/>
        </w:rPr>
        <w:t>行政事业单位医疗（款）</w:t>
      </w:r>
      <w:r>
        <w:rPr>
          <w:rFonts w:hint="default" w:ascii="Times New Roman" w:hAnsi="Times New Roman" w:eastAsia="仿宋_GB2312" w:cs="Times New Roman"/>
          <w:color w:val="auto"/>
          <w:sz w:val="32"/>
          <w:szCs w:val="32"/>
          <w:highlight w:val="none"/>
          <w:lang w:eastAsia="zh-CN"/>
        </w:rPr>
        <w:t>事业单位医疗</w:t>
      </w:r>
      <w:r>
        <w:rPr>
          <w:rFonts w:hint="eastAsia" w:ascii="Times New Roman" w:hAnsi="Times New Roman" w:eastAsia="仿宋_GB2312" w:cs="Times New Roman"/>
          <w:color w:val="auto"/>
          <w:sz w:val="32"/>
          <w:szCs w:val="32"/>
          <w:highlight w:val="none"/>
          <w:lang w:eastAsia="zh-CN"/>
        </w:rPr>
        <w:t>（项）</w:t>
      </w:r>
      <w:r>
        <w:rPr>
          <w:rFonts w:hint="eastAsia" w:ascii="Times New Roman" w:hAnsi="Times New Roman" w:eastAsia="仿宋_GB2312" w:cs="Times New Roman"/>
          <w:color w:val="auto"/>
          <w:sz w:val="32"/>
          <w:szCs w:val="32"/>
          <w:highlight w:val="none"/>
          <w:lang w:val="en-US" w:eastAsia="zh-CN"/>
        </w:rPr>
        <w:t>2025年预算数为23.77万元，主要用于：事业人员基本医疗保险缴费。</w:t>
      </w:r>
    </w:p>
    <w:p w14:paraId="75742610">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卫生健康支出（类）</w:t>
      </w:r>
      <w:r>
        <w:rPr>
          <w:rFonts w:hint="eastAsia" w:ascii="Times New Roman" w:hAnsi="Times New Roman" w:eastAsia="仿宋_GB2312" w:cs="Times New Roman"/>
          <w:color w:val="auto"/>
          <w:sz w:val="32"/>
          <w:szCs w:val="32"/>
          <w:highlight w:val="none"/>
          <w:lang w:val="en-US" w:eastAsia="zh-CN"/>
        </w:rPr>
        <w:t>行政事业单位医疗（款）</w:t>
      </w:r>
      <w:r>
        <w:rPr>
          <w:rFonts w:hint="default" w:ascii="Times New Roman" w:hAnsi="Times New Roman" w:eastAsia="仿宋_GB2312" w:cs="Times New Roman"/>
          <w:color w:val="auto"/>
          <w:sz w:val="32"/>
          <w:szCs w:val="32"/>
          <w:highlight w:val="none"/>
          <w:lang w:val="en-US" w:eastAsia="zh-CN"/>
        </w:rPr>
        <w:t>公务员医疗补助</w:t>
      </w:r>
      <w:r>
        <w:rPr>
          <w:rFonts w:hint="eastAsia" w:ascii="Times New Roman" w:hAnsi="Times New Roman" w:eastAsia="仿宋_GB2312" w:cs="Times New Roman"/>
          <w:color w:val="auto"/>
          <w:sz w:val="32"/>
          <w:szCs w:val="32"/>
          <w:highlight w:val="none"/>
          <w:lang w:eastAsia="zh-CN"/>
        </w:rPr>
        <w:t>（项）</w:t>
      </w:r>
      <w:r>
        <w:rPr>
          <w:rFonts w:hint="eastAsia" w:ascii="Times New Roman" w:hAnsi="Times New Roman" w:eastAsia="仿宋_GB2312" w:cs="Times New Roman"/>
          <w:color w:val="auto"/>
          <w:sz w:val="32"/>
          <w:szCs w:val="32"/>
          <w:highlight w:val="none"/>
          <w:lang w:val="en-US" w:eastAsia="zh-CN"/>
        </w:rPr>
        <w:t>2025年预算数为4.68万元，主要用于：公务员医疗补助缴费。</w:t>
      </w:r>
    </w:p>
    <w:p w14:paraId="79A46D2E">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城乡社区支出（类）</w:t>
      </w:r>
      <w:r>
        <w:rPr>
          <w:rFonts w:hint="eastAsia" w:ascii="Times New Roman" w:hAnsi="Times New Roman" w:eastAsia="仿宋_GB2312" w:cs="Times New Roman"/>
          <w:color w:val="auto"/>
          <w:sz w:val="32"/>
          <w:szCs w:val="32"/>
          <w:highlight w:val="none"/>
          <w:lang w:eastAsia="zh-CN"/>
        </w:rPr>
        <w:t>城乡社区管理事务（款）</w:t>
      </w:r>
      <w:r>
        <w:rPr>
          <w:rFonts w:hint="default" w:ascii="Times New Roman" w:hAnsi="Times New Roman" w:eastAsia="仿宋_GB2312" w:cs="Times New Roman"/>
          <w:color w:val="auto"/>
          <w:sz w:val="32"/>
          <w:szCs w:val="32"/>
          <w:highlight w:val="none"/>
        </w:rPr>
        <w:t>其他城乡社区管理事务</w:t>
      </w:r>
      <w:r>
        <w:rPr>
          <w:rFonts w:hint="eastAsia" w:ascii="Times New Roman" w:hAnsi="Times New Roman" w:eastAsia="仿宋_GB2312" w:cs="Times New Roman"/>
          <w:color w:val="auto"/>
          <w:sz w:val="32"/>
          <w:szCs w:val="32"/>
          <w:highlight w:val="none"/>
          <w:lang w:eastAsia="zh-CN"/>
        </w:rPr>
        <w:t>支出</w:t>
      </w:r>
      <w:r>
        <w:rPr>
          <w:rFonts w:hint="eastAsia" w:ascii="Times New Roman" w:hAnsi="Times New Roman" w:eastAsia="仿宋_GB2312" w:cs="Times New Roman"/>
          <w:color w:val="auto"/>
          <w:sz w:val="32"/>
          <w:szCs w:val="32"/>
          <w:highlight w:val="none"/>
          <w:lang w:val="en-US" w:eastAsia="zh-CN"/>
        </w:rPr>
        <w:t>(项)2025年预算数为36.32万元，主要用于：城建环卫中心基本工资。</w:t>
      </w:r>
    </w:p>
    <w:p w14:paraId="0BC44377">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农林水支出（类）</w:t>
      </w:r>
      <w:r>
        <w:rPr>
          <w:rFonts w:hint="default" w:ascii="Times New Roman" w:hAnsi="Times New Roman" w:eastAsia="仿宋_GB2312" w:cs="Times New Roman"/>
          <w:color w:val="auto"/>
          <w:sz w:val="32"/>
          <w:szCs w:val="32"/>
          <w:highlight w:val="none"/>
          <w:lang w:eastAsia="zh-CN"/>
        </w:rPr>
        <w:t>农业农村</w:t>
      </w:r>
      <w:r>
        <w:rPr>
          <w:rFonts w:hint="eastAsia" w:ascii="Times New Roman" w:hAnsi="Times New Roman" w:eastAsia="仿宋_GB2312" w:cs="Times New Roman"/>
          <w:color w:val="auto"/>
          <w:sz w:val="32"/>
          <w:szCs w:val="32"/>
          <w:highlight w:val="none"/>
          <w:lang w:eastAsia="zh-CN"/>
        </w:rPr>
        <w:t>（款）</w:t>
      </w:r>
      <w:r>
        <w:rPr>
          <w:rFonts w:hint="default" w:ascii="Times New Roman" w:hAnsi="Times New Roman" w:eastAsia="仿宋_GB2312" w:cs="Times New Roman"/>
          <w:color w:val="auto"/>
          <w:sz w:val="32"/>
          <w:szCs w:val="32"/>
          <w:highlight w:val="none"/>
          <w:lang w:eastAsia="zh-CN"/>
        </w:rPr>
        <w:t>事业运行</w:t>
      </w:r>
      <w:r>
        <w:rPr>
          <w:rFonts w:hint="eastAsia" w:ascii="Times New Roman" w:hAnsi="Times New Roman" w:eastAsia="仿宋_GB2312" w:cs="Times New Roman"/>
          <w:color w:val="auto"/>
          <w:sz w:val="32"/>
          <w:szCs w:val="32"/>
          <w:highlight w:val="none"/>
          <w:lang w:eastAsia="zh-CN"/>
        </w:rPr>
        <w:t>（项）</w:t>
      </w:r>
      <w:r>
        <w:rPr>
          <w:rFonts w:hint="eastAsia" w:ascii="Times New Roman" w:hAnsi="Times New Roman" w:eastAsia="仿宋_GB2312" w:cs="Times New Roman"/>
          <w:color w:val="auto"/>
          <w:sz w:val="32"/>
          <w:szCs w:val="32"/>
          <w:highlight w:val="none"/>
          <w:lang w:val="en-US" w:eastAsia="zh-CN"/>
        </w:rPr>
        <w:t>2025年预算数为79.72万元，主要用于：</w:t>
      </w:r>
      <w:r>
        <w:rPr>
          <w:rFonts w:hint="default" w:ascii="Times New Roman" w:hAnsi="Times New Roman" w:eastAsia="仿宋_GB2312" w:cs="Times New Roman"/>
          <w:color w:val="auto"/>
          <w:sz w:val="32"/>
          <w:szCs w:val="32"/>
          <w:highlight w:val="none"/>
          <w:lang w:val="en-US" w:eastAsia="zh-CN"/>
        </w:rPr>
        <w:t>畜牧兽医站</w:t>
      </w:r>
      <w:r>
        <w:rPr>
          <w:rFonts w:hint="eastAsia" w:ascii="Times New Roman" w:hAnsi="Times New Roman" w:eastAsia="仿宋_GB2312" w:cs="Times New Roman"/>
          <w:color w:val="auto"/>
          <w:sz w:val="32"/>
          <w:szCs w:val="32"/>
          <w:highlight w:val="none"/>
          <w:lang w:val="en-US" w:eastAsia="zh-CN"/>
        </w:rPr>
        <w:t>基本工资。</w:t>
      </w:r>
    </w:p>
    <w:p w14:paraId="1E165603">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农林水支出（类）林业和草原</w:t>
      </w:r>
      <w:r>
        <w:rPr>
          <w:rFonts w:hint="eastAsia" w:ascii="Times New Roman" w:hAnsi="Times New Roman" w:eastAsia="仿宋_GB2312" w:cs="Times New Roman"/>
          <w:color w:val="auto"/>
          <w:sz w:val="32"/>
          <w:szCs w:val="32"/>
          <w:highlight w:val="none"/>
          <w:lang w:eastAsia="zh-CN"/>
        </w:rPr>
        <w:t>（款）</w:t>
      </w:r>
      <w:r>
        <w:rPr>
          <w:rFonts w:hint="default" w:ascii="Times New Roman" w:hAnsi="Times New Roman" w:eastAsia="仿宋_GB2312" w:cs="Times New Roman"/>
          <w:color w:val="auto"/>
          <w:sz w:val="32"/>
          <w:szCs w:val="32"/>
          <w:highlight w:val="none"/>
          <w:lang w:eastAsia="zh-CN"/>
        </w:rPr>
        <w:t>事业机构</w:t>
      </w:r>
      <w:r>
        <w:rPr>
          <w:rFonts w:hint="eastAsia" w:ascii="Times New Roman" w:hAnsi="Times New Roman" w:eastAsia="仿宋_GB2312" w:cs="Times New Roman"/>
          <w:color w:val="auto"/>
          <w:sz w:val="32"/>
          <w:szCs w:val="32"/>
          <w:highlight w:val="none"/>
          <w:lang w:eastAsia="zh-CN"/>
        </w:rPr>
        <w:t>（项）</w:t>
      </w:r>
      <w:r>
        <w:rPr>
          <w:rFonts w:hint="eastAsia" w:ascii="Times New Roman" w:hAnsi="Times New Roman" w:eastAsia="仿宋_GB2312" w:cs="Times New Roman"/>
          <w:color w:val="auto"/>
          <w:sz w:val="32"/>
          <w:szCs w:val="32"/>
          <w:highlight w:val="none"/>
          <w:lang w:val="en-US" w:eastAsia="zh-CN"/>
        </w:rPr>
        <w:t>2025年预算数为7.38万元，主要用于：林业基本工资。</w:t>
      </w:r>
    </w:p>
    <w:p w14:paraId="04285230">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农林水支出（类）</w:t>
      </w:r>
      <w:r>
        <w:rPr>
          <w:rFonts w:hint="default" w:ascii="Times New Roman" w:hAnsi="Times New Roman" w:eastAsia="仿宋_GB2312" w:cs="Times New Roman"/>
          <w:color w:val="auto"/>
          <w:sz w:val="32"/>
          <w:szCs w:val="32"/>
          <w:highlight w:val="none"/>
          <w:lang w:eastAsia="zh-CN"/>
        </w:rPr>
        <w:t>水利</w:t>
      </w:r>
      <w:r>
        <w:rPr>
          <w:rFonts w:hint="eastAsia" w:ascii="Times New Roman" w:hAnsi="Times New Roman" w:eastAsia="仿宋_GB2312" w:cs="Times New Roman"/>
          <w:color w:val="auto"/>
          <w:sz w:val="32"/>
          <w:szCs w:val="32"/>
          <w:highlight w:val="none"/>
          <w:lang w:eastAsia="zh-CN"/>
        </w:rPr>
        <w:t>（款）</w:t>
      </w:r>
      <w:r>
        <w:rPr>
          <w:rFonts w:hint="default" w:ascii="Times New Roman" w:hAnsi="Times New Roman" w:eastAsia="仿宋_GB2312" w:cs="Times New Roman"/>
          <w:color w:val="auto"/>
          <w:sz w:val="32"/>
          <w:szCs w:val="32"/>
          <w:highlight w:val="none"/>
          <w:lang w:eastAsia="zh-CN"/>
        </w:rPr>
        <w:t>水利技术推广</w:t>
      </w:r>
      <w:r>
        <w:rPr>
          <w:rFonts w:hint="eastAsia" w:ascii="Times New Roman" w:hAnsi="Times New Roman" w:eastAsia="仿宋_GB2312" w:cs="Times New Roman"/>
          <w:color w:val="auto"/>
          <w:sz w:val="32"/>
          <w:szCs w:val="32"/>
          <w:highlight w:val="none"/>
          <w:lang w:eastAsia="zh-CN"/>
        </w:rPr>
        <w:t>（项）</w:t>
      </w:r>
      <w:r>
        <w:rPr>
          <w:rFonts w:hint="eastAsia" w:ascii="Times New Roman" w:hAnsi="Times New Roman" w:eastAsia="仿宋_GB2312" w:cs="Times New Roman"/>
          <w:color w:val="auto"/>
          <w:sz w:val="32"/>
          <w:szCs w:val="32"/>
          <w:highlight w:val="none"/>
          <w:lang w:val="en-US" w:eastAsia="zh-CN"/>
        </w:rPr>
        <w:t>2025年预算数为7.33万元，主要用于：水利基本工资。</w:t>
      </w:r>
    </w:p>
    <w:p w14:paraId="64BAFB4D">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农林水支出（类）</w:t>
      </w:r>
      <w:r>
        <w:rPr>
          <w:rFonts w:hint="default" w:ascii="Times New Roman" w:hAnsi="Times New Roman" w:eastAsia="仿宋_GB2312" w:cs="Times New Roman"/>
          <w:color w:val="auto"/>
          <w:sz w:val="32"/>
          <w:szCs w:val="32"/>
          <w:highlight w:val="none"/>
          <w:lang w:eastAsia="zh-CN"/>
        </w:rPr>
        <w:t>农村综合改革</w:t>
      </w:r>
      <w:r>
        <w:rPr>
          <w:rFonts w:hint="eastAsia" w:ascii="Times New Roman" w:hAnsi="Times New Roman" w:eastAsia="仿宋_GB2312" w:cs="Times New Roman"/>
          <w:color w:val="auto"/>
          <w:sz w:val="32"/>
          <w:szCs w:val="32"/>
          <w:highlight w:val="none"/>
          <w:lang w:eastAsia="zh-CN"/>
        </w:rPr>
        <w:t>（款）</w:t>
      </w:r>
      <w:r>
        <w:rPr>
          <w:rFonts w:hint="default" w:ascii="Times New Roman" w:hAnsi="Times New Roman" w:eastAsia="仿宋_GB2312" w:cs="Times New Roman"/>
          <w:color w:val="auto"/>
          <w:sz w:val="32"/>
          <w:szCs w:val="32"/>
          <w:highlight w:val="none"/>
          <w:lang w:eastAsia="zh-CN"/>
        </w:rPr>
        <w:t>对村民委员会和村党支部的补助</w:t>
      </w:r>
      <w:r>
        <w:rPr>
          <w:rFonts w:hint="eastAsia" w:ascii="Times New Roman" w:hAnsi="Times New Roman" w:eastAsia="仿宋_GB2312" w:cs="Times New Roman"/>
          <w:color w:val="auto"/>
          <w:sz w:val="32"/>
          <w:szCs w:val="32"/>
          <w:highlight w:val="none"/>
          <w:lang w:eastAsia="zh-CN"/>
        </w:rPr>
        <w:t>（项）</w:t>
      </w:r>
      <w:r>
        <w:rPr>
          <w:rFonts w:hint="eastAsia" w:ascii="Times New Roman" w:hAnsi="Times New Roman" w:eastAsia="仿宋_GB2312" w:cs="Times New Roman"/>
          <w:color w:val="auto"/>
          <w:sz w:val="32"/>
          <w:szCs w:val="32"/>
          <w:highlight w:val="none"/>
          <w:lang w:val="en-US" w:eastAsia="zh-CN"/>
        </w:rPr>
        <w:t>2025年预算数为525.78万元，主要用于：村干部补助和村级办公经费。</w:t>
      </w:r>
    </w:p>
    <w:p w14:paraId="490EC917">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农林水支出（类）</w:t>
      </w:r>
      <w:r>
        <w:rPr>
          <w:rFonts w:hint="default" w:ascii="Times New Roman" w:hAnsi="Times New Roman" w:eastAsia="仿宋_GB2312" w:cs="Times New Roman"/>
          <w:color w:val="auto"/>
          <w:sz w:val="32"/>
          <w:szCs w:val="32"/>
          <w:highlight w:val="none"/>
          <w:lang w:eastAsia="zh-CN"/>
        </w:rPr>
        <w:t>农村综合改革</w:t>
      </w:r>
      <w:r>
        <w:rPr>
          <w:rFonts w:hint="eastAsia" w:ascii="Times New Roman" w:hAnsi="Times New Roman" w:eastAsia="仿宋_GB2312" w:cs="Times New Roman"/>
          <w:color w:val="auto"/>
          <w:sz w:val="32"/>
          <w:szCs w:val="32"/>
          <w:highlight w:val="none"/>
          <w:lang w:eastAsia="zh-CN"/>
        </w:rPr>
        <w:t>（款）</w:t>
      </w:r>
      <w:r>
        <w:rPr>
          <w:rFonts w:hint="default" w:ascii="Times New Roman" w:hAnsi="Times New Roman" w:eastAsia="仿宋_GB2312" w:cs="Times New Roman"/>
          <w:color w:val="auto"/>
          <w:sz w:val="32"/>
          <w:szCs w:val="32"/>
          <w:highlight w:val="none"/>
          <w:lang w:eastAsia="zh-CN"/>
        </w:rPr>
        <w:t>农村综合改革示范试点补助</w:t>
      </w:r>
      <w:r>
        <w:rPr>
          <w:rFonts w:hint="eastAsia" w:ascii="Times New Roman" w:hAnsi="Times New Roman" w:eastAsia="仿宋_GB2312" w:cs="Times New Roman"/>
          <w:color w:val="auto"/>
          <w:sz w:val="32"/>
          <w:szCs w:val="32"/>
          <w:highlight w:val="none"/>
          <w:lang w:eastAsia="zh-CN"/>
        </w:rPr>
        <w:t>（项）</w:t>
      </w:r>
      <w:r>
        <w:rPr>
          <w:rFonts w:hint="eastAsia" w:ascii="Times New Roman" w:hAnsi="Times New Roman" w:eastAsia="仿宋_GB2312" w:cs="Times New Roman"/>
          <w:color w:val="auto"/>
          <w:sz w:val="32"/>
          <w:szCs w:val="32"/>
          <w:highlight w:val="none"/>
          <w:lang w:val="en-US" w:eastAsia="zh-CN"/>
        </w:rPr>
        <w:t>2025年预算数为135.5万元，主要用于：农村公共服务运行维护和社区服务群众专项经费。</w:t>
      </w:r>
    </w:p>
    <w:p w14:paraId="5FF96E0B">
      <w:pPr>
        <w:suppressAutoHyphens/>
        <w:bidi w:val="0"/>
        <w:spacing w:line="580" w:lineRule="exact"/>
        <w:ind w:firstLine="640" w:firstLineChars="200"/>
        <w:rPr>
          <w:rFonts w:hint="eastAsia" w:ascii="Times New Roman" w:hAnsi="Times New Roman" w:eastAsia="仿宋_GB2312" w:cs="Times New Roman"/>
          <w:color w:val="auto"/>
          <w:sz w:val="32"/>
          <w:szCs w:val="32"/>
          <w:highlight w:val="cyan"/>
          <w:lang w:val="en-US" w:eastAsia="zh-CN"/>
        </w:rPr>
      </w:pPr>
      <w:r>
        <w:rPr>
          <w:rFonts w:hint="eastAsia"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lang w:eastAsia="zh-CN"/>
        </w:rPr>
        <w:t>交通运输</w:t>
      </w:r>
      <w:r>
        <w:rPr>
          <w:rFonts w:hint="default" w:ascii="Times New Roman" w:hAnsi="Times New Roman" w:eastAsia="仿宋_GB2312" w:cs="Times New Roman"/>
          <w:color w:val="auto"/>
          <w:sz w:val="32"/>
          <w:szCs w:val="32"/>
          <w:highlight w:val="none"/>
        </w:rPr>
        <w:t>（类）公路水路运输</w:t>
      </w:r>
      <w:r>
        <w:rPr>
          <w:rFonts w:hint="eastAsia" w:ascii="Times New Roman" w:hAnsi="Times New Roman" w:eastAsia="仿宋_GB2312" w:cs="Times New Roman"/>
          <w:color w:val="auto"/>
          <w:sz w:val="32"/>
          <w:szCs w:val="32"/>
          <w:highlight w:val="none"/>
          <w:lang w:eastAsia="zh-CN"/>
        </w:rPr>
        <w:t>（款）</w:t>
      </w:r>
      <w:r>
        <w:rPr>
          <w:rFonts w:hint="default" w:ascii="Times New Roman" w:hAnsi="Times New Roman" w:eastAsia="仿宋_GB2312" w:cs="Times New Roman"/>
          <w:color w:val="auto"/>
          <w:sz w:val="32"/>
          <w:szCs w:val="32"/>
          <w:highlight w:val="none"/>
        </w:rPr>
        <w:t>其他公路水路运输支出</w:t>
      </w:r>
      <w:r>
        <w:rPr>
          <w:rFonts w:hint="eastAsia" w:ascii="Times New Roman" w:hAnsi="Times New Roman" w:eastAsia="仿宋_GB2312" w:cs="Times New Roman"/>
          <w:color w:val="auto"/>
          <w:sz w:val="32"/>
          <w:szCs w:val="32"/>
          <w:highlight w:val="none"/>
          <w:lang w:eastAsia="zh-CN"/>
        </w:rPr>
        <w:t>（项）</w:t>
      </w:r>
      <w:r>
        <w:rPr>
          <w:rFonts w:hint="eastAsia" w:ascii="Times New Roman" w:hAnsi="Times New Roman" w:eastAsia="仿宋_GB2312" w:cs="Times New Roman"/>
          <w:color w:val="auto"/>
          <w:sz w:val="32"/>
          <w:szCs w:val="32"/>
          <w:highlight w:val="none"/>
          <w:lang w:val="en-US" w:eastAsia="zh-CN"/>
        </w:rPr>
        <w:t>2025年预算数为12.02万元，主要用于：公益性渡口运行经费。</w:t>
      </w:r>
    </w:p>
    <w:p w14:paraId="7FF6707B">
      <w:pPr>
        <w:suppressAutoHyphens/>
        <w:bidi w:val="0"/>
        <w:spacing w:line="58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住房保障支出</w:t>
      </w:r>
      <w:r>
        <w:rPr>
          <w:rFonts w:hint="eastAsia" w:ascii="Times New Roman" w:hAnsi="Times New Roman" w:eastAsia="仿宋_GB2312" w:cs="Times New Roman"/>
          <w:color w:val="auto"/>
          <w:sz w:val="32"/>
          <w:szCs w:val="32"/>
          <w:highlight w:val="none"/>
          <w:lang w:eastAsia="zh-CN"/>
        </w:rPr>
        <w:t>（类）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住房改革支出</w:t>
      </w:r>
      <w:r>
        <w:rPr>
          <w:rFonts w:hint="eastAsia" w:ascii="Times New Roman" w:hAnsi="Times New Roman" w:eastAsia="仿宋_GB2312" w:cs="Times New Roman"/>
          <w:color w:val="auto"/>
          <w:sz w:val="32"/>
          <w:szCs w:val="32"/>
          <w:highlight w:val="none"/>
          <w:lang w:eastAsia="zh-CN"/>
        </w:rPr>
        <w:t>（款）</w:t>
      </w:r>
      <w:r>
        <w:rPr>
          <w:rFonts w:hint="default" w:ascii="Times New Roman" w:hAnsi="Times New Roman" w:eastAsia="仿宋_GB2312" w:cs="Times New Roman"/>
          <w:color w:val="auto"/>
          <w:sz w:val="32"/>
          <w:szCs w:val="32"/>
          <w:highlight w:val="none"/>
        </w:rPr>
        <w:t>住房公积金</w:t>
      </w:r>
      <w:r>
        <w:rPr>
          <w:rFonts w:hint="eastAsia" w:ascii="Times New Roman" w:hAnsi="Times New Roman" w:eastAsia="仿宋_GB2312" w:cs="Times New Roman"/>
          <w:color w:val="auto"/>
          <w:sz w:val="32"/>
          <w:szCs w:val="32"/>
          <w:highlight w:val="none"/>
          <w:lang w:eastAsia="zh-CN"/>
        </w:rPr>
        <w:t>（项）</w:t>
      </w:r>
      <w:r>
        <w:rPr>
          <w:rFonts w:hint="eastAsia" w:ascii="Times New Roman" w:hAnsi="Times New Roman" w:eastAsia="仿宋_GB2312" w:cs="Times New Roman"/>
          <w:color w:val="auto"/>
          <w:sz w:val="32"/>
          <w:szCs w:val="32"/>
          <w:highlight w:val="none"/>
          <w:lang w:val="en-US" w:eastAsia="zh-CN"/>
        </w:rPr>
        <w:t>2025年预算数为103.53万元，主要用于：行政事业单位住房公积金。</w:t>
      </w:r>
    </w:p>
    <w:p w14:paraId="7526AB58">
      <w:pPr>
        <w:numPr>
          <w:ilvl w:val="0"/>
          <w:numId w:val="0"/>
        </w:numPr>
        <w:suppressAutoHyphens/>
        <w:bidi w:val="0"/>
        <w:spacing w:line="580" w:lineRule="exact"/>
        <w:ind w:firstLine="640" w:firstLineChars="200"/>
        <w:outlineLvl w:val="1"/>
        <w:rPr>
          <w:rFonts w:hint="default" w:ascii="Times New Roman" w:hAnsi="Times New Roman" w:eastAsia="黑体" w:cs="Times New Roman"/>
          <w:color w:val="auto"/>
          <w:sz w:val="32"/>
          <w:szCs w:val="32"/>
          <w:highlight w:val="none"/>
          <w:lang w:eastAsia="zh-CN"/>
        </w:rPr>
      </w:pPr>
      <w:bookmarkStart w:id="0" w:name="_GoBack"/>
      <w:r>
        <w:rPr>
          <w:rFonts w:hint="eastAsia"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一般公共预算基本支出</w:t>
      </w:r>
      <w:r>
        <w:rPr>
          <w:rFonts w:hint="default" w:ascii="Times New Roman" w:hAnsi="Times New Roman" w:eastAsia="黑体" w:cs="Times New Roman"/>
          <w:color w:val="auto"/>
          <w:sz w:val="32"/>
          <w:szCs w:val="32"/>
          <w:highlight w:val="none"/>
          <w:lang w:eastAsia="zh-CN"/>
        </w:rPr>
        <w:t>情况说明</w:t>
      </w:r>
    </w:p>
    <w:p w14:paraId="48C58B02">
      <w:pPr>
        <w:numPr>
          <w:ilvl w:val="0"/>
          <w:numId w:val="0"/>
        </w:numPr>
        <w:suppressAutoHyphens/>
        <w:bidi w:val="0"/>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u w:val="none"/>
          <w:lang w:val="en-US" w:eastAsia="zh-CN"/>
        </w:rPr>
        <w:t>观塘镇</w:t>
      </w:r>
      <w:r>
        <w:rPr>
          <w:rFonts w:hint="eastAsia" w:ascii="Times New Roman" w:hAnsi="Times New Roman" w:eastAsia="仿宋_GB2312" w:cs="Times New Roman"/>
          <w:color w:val="auto"/>
          <w:sz w:val="32"/>
          <w:szCs w:val="32"/>
          <w:highlight w:val="none"/>
          <w:lang w:eastAsia="zh-CN"/>
        </w:rPr>
        <w:t>2025</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一般公共预算基本支出</w:t>
      </w:r>
      <w:r>
        <w:rPr>
          <w:rFonts w:hint="eastAsia" w:ascii="Times New Roman" w:hAnsi="Times New Roman" w:eastAsia="仿宋_GB2312" w:cs="Times New Roman"/>
          <w:color w:val="auto"/>
          <w:sz w:val="32"/>
          <w:szCs w:val="32"/>
          <w:highlight w:val="none"/>
          <w:lang w:val="en-US" w:eastAsia="zh-CN"/>
        </w:rPr>
        <w:t>1720.74</w:t>
      </w:r>
      <w:r>
        <w:rPr>
          <w:rFonts w:hint="default" w:ascii="Times New Roman" w:hAnsi="Times New Roman" w:eastAsia="仿宋_GB2312" w:cs="Times New Roman"/>
          <w:color w:val="auto"/>
          <w:sz w:val="32"/>
          <w:szCs w:val="32"/>
          <w:highlight w:val="none"/>
        </w:rPr>
        <w:t>万元，其中：</w:t>
      </w:r>
    </w:p>
    <w:p w14:paraId="435EF268">
      <w:pPr>
        <w:suppressAutoHyphens/>
        <w:bidi w:val="0"/>
        <w:spacing w:line="580" w:lineRule="exact"/>
        <w:ind w:firstLine="640" w:firstLineChars="200"/>
        <w:rPr>
          <w:rFonts w:hint="eastAsia"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rPr>
        <w:t>人员经费</w:t>
      </w:r>
      <w:r>
        <w:rPr>
          <w:rFonts w:hint="eastAsia" w:ascii="Times New Roman" w:hAnsi="Times New Roman" w:eastAsia="仿宋_GB2312" w:cs="Times New Roman"/>
          <w:color w:val="auto"/>
          <w:sz w:val="32"/>
          <w:szCs w:val="32"/>
          <w:highlight w:val="none"/>
          <w:lang w:val="en-US" w:eastAsia="zh-CN"/>
        </w:rPr>
        <w:t>1368.68</w:t>
      </w:r>
      <w:r>
        <w:rPr>
          <w:rFonts w:hint="default" w:ascii="Times New Roman" w:hAnsi="Times New Roman" w:eastAsia="仿宋_GB2312" w:cs="Times New Roman"/>
          <w:color w:val="auto"/>
          <w:sz w:val="32"/>
          <w:szCs w:val="32"/>
          <w:highlight w:val="none"/>
        </w:rPr>
        <w:t>万元，主要包括：</w:t>
      </w:r>
      <w:r>
        <w:rPr>
          <w:rFonts w:hint="default" w:ascii="Times New Roman" w:hAnsi="Times New Roman" w:eastAsia="仿宋_GB2312" w:cs="Times New Roman"/>
          <w:color w:val="auto"/>
          <w:sz w:val="32"/>
          <w:szCs w:val="32"/>
          <w:highlight w:val="none"/>
          <w:u w:val="none"/>
        </w:rPr>
        <w:t>基本工资</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津贴补贴</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奖金</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绩效工资</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机关事业单位基本养老保险缴费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职工基本医疗保险缴费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公务员医疗补助缴费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其他社会保障缴费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住房公积金</w:t>
      </w:r>
      <w:r>
        <w:rPr>
          <w:rFonts w:hint="default" w:ascii="Times New Roman" w:hAnsi="Times New Roman" w:eastAsia="仿宋_GB2312" w:cs="Times New Roman"/>
          <w:color w:val="auto"/>
          <w:sz w:val="32"/>
          <w:szCs w:val="32"/>
          <w:highlight w:val="none"/>
          <w:u w:val="none"/>
          <w:lang w:eastAsia="zh-CN"/>
        </w:rPr>
        <w:t>、生活补助、医疗费补助、奖励金</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其他对个人和家庭的补助。</w:t>
      </w:r>
    </w:p>
    <w:p w14:paraId="2DAB657A">
      <w:pPr>
        <w:suppressAutoHyphens/>
        <w:bidi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rPr>
        <w:t>公用经费</w:t>
      </w:r>
      <w:r>
        <w:rPr>
          <w:rFonts w:hint="eastAsia" w:ascii="Times New Roman" w:hAnsi="Times New Roman" w:eastAsia="仿宋_GB2312" w:cs="Times New Roman"/>
          <w:color w:val="auto"/>
          <w:sz w:val="32"/>
          <w:szCs w:val="32"/>
          <w:highlight w:val="none"/>
          <w:lang w:val="en-US" w:eastAsia="zh-CN"/>
        </w:rPr>
        <w:t>352.06</w:t>
      </w:r>
      <w:r>
        <w:rPr>
          <w:rFonts w:hint="default" w:ascii="Times New Roman" w:hAnsi="Times New Roman" w:eastAsia="仿宋_GB2312" w:cs="Times New Roman"/>
          <w:color w:val="auto"/>
          <w:sz w:val="32"/>
          <w:szCs w:val="32"/>
          <w:highlight w:val="none"/>
        </w:rPr>
        <w:t>万元，主要包括</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rPr>
        <w:t>办公费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水费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电费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邮电费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差旅费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维修（护）费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会议费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培训费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公务接待费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 劳务费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工会经费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福利费</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其他交通费用</w:t>
      </w:r>
      <w:r>
        <w:rPr>
          <w:rFonts w:hint="default" w:ascii="Times New Roman" w:hAnsi="Times New Roman" w:eastAsia="仿宋_GB2312" w:cs="Times New Roman"/>
          <w:color w:val="auto"/>
          <w:sz w:val="32"/>
          <w:szCs w:val="32"/>
          <w:highlight w:val="none"/>
          <w:u w:val="none"/>
          <w:lang w:eastAsia="zh-CN"/>
        </w:rPr>
        <w:t>。</w:t>
      </w:r>
    </w:p>
    <w:p w14:paraId="745323EB">
      <w:pPr>
        <w:suppressAutoHyphens/>
        <w:bidi w:val="0"/>
        <w:spacing w:line="580" w:lineRule="exact"/>
        <w:ind w:firstLine="640" w:firstLineChars="200"/>
        <w:outlineLvl w:val="1"/>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“三公”经费财政拨款预算安排情况说明</w:t>
      </w:r>
    </w:p>
    <w:p w14:paraId="355E157A">
      <w:pPr>
        <w:suppressAutoHyphens/>
        <w:bidi w:val="0"/>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观塘镇2025</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“三公”经费财政拨款预算数</w:t>
      </w:r>
      <w:r>
        <w:rPr>
          <w:rFonts w:hint="eastAsia" w:ascii="Times New Roman" w:hAnsi="Times New Roman" w:eastAsia="仿宋_GB2312" w:cs="Times New Roman"/>
          <w:color w:val="auto"/>
          <w:sz w:val="32"/>
          <w:szCs w:val="32"/>
          <w:highlight w:val="none"/>
          <w:lang w:val="en-US" w:eastAsia="zh-CN"/>
        </w:rPr>
        <w:t>1.16</w:t>
      </w:r>
      <w:r>
        <w:rPr>
          <w:rFonts w:hint="default" w:ascii="Times New Roman" w:hAnsi="Times New Roman" w:eastAsia="仿宋_GB2312" w:cs="Times New Roman"/>
          <w:color w:val="auto"/>
          <w:sz w:val="32"/>
          <w:szCs w:val="32"/>
          <w:highlight w:val="none"/>
        </w:rPr>
        <w:t>万元，其中：公务接待费</w:t>
      </w:r>
      <w:r>
        <w:rPr>
          <w:rFonts w:hint="eastAsia" w:ascii="Times New Roman" w:hAnsi="Times New Roman" w:eastAsia="仿宋_GB2312" w:cs="Times New Roman"/>
          <w:color w:val="auto"/>
          <w:sz w:val="32"/>
          <w:szCs w:val="32"/>
          <w:highlight w:val="none"/>
          <w:lang w:val="en-US" w:eastAsia="zh-CN"/>
        </w:rPr>
        <w:t>1.16</w:t>
      </w:r>
      <w:r>
        <w:rPr>
          <w:rFonts w:hint="default" w:ascii="Times New Roman" w:hAnsi="Times New Roman" w:eastAsia="仿宋_GB2312" w:cs="Times New Roman"/>
          <w:color w:val="auto"/>
          <w:sz w:val="32"/>
          <w:szCs w:val="32"/>
          <w:highlight w:val="none"/>
        </w:rPr>
        <w:t>万元，公务用车购置及运行维护费</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，因公出国（境）经费</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p>
    <w:p w14:paraId="6FFD86CE">
      <w:pPr>
        <w:suppressAutoHyphens/>
        <w:bidi w:val="0"/>
        <w:spacing w:line="580" w:lineRule="exact"/>
        <w:ind w:firstLine="643"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楷体_GB2312" w:cs="Times New Roman"/>
          <w:b/>
          <w:color w:val="auto"/>
          <w:sz w:val="32"/>
          <w:szCs w:val="32"/>
          <w:highlight w:val="none"/>
        </w:rPr>
        <w:t>（</w:t>
      </w:r>
      <w:r>
        <w:rPr>
          <w:rFonts w:hint="eastAsia" w:ascii="Times New Roman" w:hAnsi="Times New Roman" w:eastAsia="楷体_GB2312" w:cs="Times New Roman"/>
          <w:b/>
          <w:color w:val="auto"/>
          <w:sz w:val="32"/>
          <w:szCs w:val="32"/>
          <w:highlight w:val="none"/>
          <w:lang w:eastAsia="zh-CN"/>
        </w:rPr>
        <w:t>一</w:t>
      </w:r>
      <w:r>
        <w:rPr>
          <w:rFonts w:hint="eastAsia" w:ascii="Times New Roman" w:hAnsi="Times New Roman" w:eastAsia="楷体_GB2312" w:cs="Times New Roman"/>
          <w:b/>
          <w:color w:val="auto"/>
          <w:sz w:val="32"/>
          <w:szCs w:val="32"/>
          <w:highlight w:val="none"/>
        </w:rPr>
        <w:t>）因公出国（境）经费</w:t>
      </w:r>
      <w:r>
        <w:rPr>
          <w:rFonts w:hint="eastAsia" w:ascii="Times New Roman" w:hAnsi="Times New Roman" w:eastAsia="楷体_GB2312" w:cs="Times New Roman"/>
          <w:b/>
          <w:color w:val="auto"/>
          <w:sz w:val="32"/>
          <w:szCs w:val="32"/>
          <w:highlight w:val="none"/>
          <w:u w:val="none"/>
        </w:rPr>
        <w:t>与</w:t>
      </w:r>
      <w:r>
        <w:rPr>
          <w:rFonts w:hint="eastAsia" w:ascii="Times New Roman" w:hAnsi="Times New Roman" w:eastAsia="楷体_GB2312" w:cs="Times New Roman"/>
          <w:b/>
          <w:color w:val="auto"/>
          <w:sz w:val="32"/>
          <w:szCs w:val="32"/>
          <w:highlight w:val="none"/>
          <w:u w:val="none"/>
          <w:lang w:eastAsia="zh-CN"/>
        </w:rPr>
        <w:t>2024年</w:t>
      </w:r>
      <w:r>
        <w:rPr>
          <w:rFonts w:hint="eastAsia" w:ascii="Times New Roman" w:hAnsi="Times New Roman" w:eastAsia="楷体_GB2312" w:cs="Times New Roman"/>
          <w:b/>
          <w:color w:val="auto"/>
          <w:sz w:val="32"/>
          <w:szCs w:val="32"/>
          <w:highlight w:val="none"/>
          <w:u w:val="none"/>
        </w:rPr>
        <w:t>预算持平。</w:t>
      </w:r>
      <w:r>
        <w:rPr>
          <w:rFonts w:hint="eastAsia" w:ascii="Times New Roman" w:hAnsi="Times New Roman" w:eastAsia="仿宋_GB2312" w:cs="Times New Roman"/>
          <w:color w:val="auto"/>
          <w:sz w:val="32"/>
          <w:szCs w:val="32"/>
          <w:highlight w:val="none"/>
        </w:rPr>
        <w:t>主要原因是</w:t>
      </w:r>
      <w:r>
        <w:rPr>
          <w:rFonts w:hint="eastAsia" w:ascii="Times New Roman" w:hAnsi="Times New Roman" w:eastAsia="仿宋_GB2312" w:cs="Times New Roman"/>
          <w:color w:val="auto"/>
          <w:sz w:val="32"/>
          <w:szCs w:val="32"/>
          <w:highlight w:val="none"/>
          <w:lang w:eastAsia="zh-CN"/>
        </w:rPr>
        <w:t>观塘镇没有</w:t>
      </w:r>
      <w:r>
        <w:rPr>
          <w:rFonts w:hint="eastAsia" w:ascii="Times New Roman" w:hAnsi="Times New Roman" w:eastAsia="仿宋_GB2312" w:cs="Times New Roman"/>
          <w:color w:val="auto"/>
          <w:sz w:val="32"/>
          <w:szCs w:val="32"/>
          <w:highlight w:val="none"/>
        </w:rPr>
        <w:t>安排</w:t>
      </w:r>
      <w:r>
        <w:rPr>
          <w:rFonts w:hint="eastAsia" w:ascii="Times New Roman" w:hAnsi="Times New Roman" w:eastAsia="仿宋_GB2312" w:cs="Times New Roman"/>
          <w:color w:val="auto"/>
          <w:sz w:val="32"/>
          <w:szCs w:val="32"/>
          <w:highlight w:val="none"/>
          <w:lang w:eastAsia="zh-CN"/>
        </w:rPr>
        <w:t>该项支出</w:t>
      </w:r>
      <w:r>
        <w:rPr>
          <w:rFonts w:hint="eastAsia" w:ascii="Times New Roman" w:hAnsi="Times New Roman" w:eastAsia="仿宋_GB2312" w:cs="Times New Roman"/>
          <w:color w:val="auto"/>
          <w:sz w:val="32"/>
          <w:szCs w:val="32"/>
          <w:highlight w:val="none"/>
        </w:rPr>
        <w:t>。</w:t>
      </w:r>
    </w:p>
    <w:p w14:paraId="022C12F8">
      <w:pPr>
        <w:suppressAutoHyphens/>
        <w:bidi w:val="0"/>
        <w:spacing w:line="580" w:lineRule="exact"/>
        <w:ind w:firstLine="643" w:firstLineChars="200"/>
        <w:rPr>
          <w:rFonts w:hint="default" w:ascii="Times New Roman" w:hAnsi="Times New Roman" w:eastAsia="黑体" w:cs="Times New Roman"/>
          <w:b/>
          <w:color w:val="auto"/>
          <w:sz w:val="32"/>
          <w:szCs w:val="32"/>
          <w:highlight w:val="none"/>
        </w:rPr>
      </w:pPr>
      <w:r>
        <w:rPr>
          <w:rFonts w:hint="default" w:ascii="Times New Roman" w:hAnsi="Times New Roman" w:eastAsia="楷体_GB2312" w:cs="Times New Roman"/>
          <w:b/>
          <w:color w:val="auto"/>
          <w:sz w:val="32"/>
          <w:szCs w:val="32"/>
          <w:highlight w:val="none"/>
        </w:rPr>
        <w:t>（</w:t>
      </w:r>
      <w:r>
        <w:rPr>
          <w:rFonts w:hint="default" w:ascii="Times New Roman" w:hAnsi="Times New Roman" w:eastAsia="楷体_GB2312" w:cs="Times New Roman"/>
          <w:b/>
          <w:color w:val="auto"/>
          <w:sz w:val="32"/>
          <w:szCs w:val="32"/>
          <w:highlight w:val="none"/>
          <w:lang w:eastAsia="zh-CN"/>
        </w:rPr>
        <w:t>二</w:t>
      </w:r>
      <w:r>
        <w:rPr>
          <w:rFonts w:hint="default" w:ascii="Times New Roman" w:hAnsi="Times New Roman" w:eastAsia="楷体_GB2312" w:cs="Times New Roman"/>
          <w:b/>
          <w:color w:val="auto"/>
          <w:sz w:val="32"/>
          <w:szCs w:val="32"/>
          <w:highlight w:val="none"/>
        </w:rPr>
        <w:t>）公务接待费较</w:t>
      </w:r>
      <w:r>
        <w:rPr>
          <w:rFonts w:hint="eastAsia" w:ascii="Times New Roman" w:hAnsi="Times New Roman" w:eastAsia="楷体_GB2312" w:cs="Times New Roman"/>
          <w:b/>
          <w:color w:val="auto"/>
          <w:sz w:val="32"/>
          <w:szCs w:val="32"/>
          <w:highlight w:val="none"/>
          <w:lang w:eastAsia="zh-CN"/>
        </w:rPr>
        <w:t>2024</w:t>
      </w:r>
      <w:r>
        <w:rPr>
          <w:rFonts w:hint="default" w:ascii="Times New Roman" w:hAnsi="Times New Roman" w:eastAsia="楷体_GB2312" w:cs="Times New Roman"/>
          <w:b/>
          <w:color w:val="auto"/>
          <w:sz w:val="32"/>
          <w:szCs w:val="32"/>
          <w:highlight w:val="none"/>
          <w:lang w:eastAsia="zh-CN"/>
        </w:rPr>
        <w:t>年</w:t>
      </w:r>
      <w:r>
        <w:rPr>
          <w:rFonts w:hint="default" w:ascii="Times New Roman" w:hAnsi="Times New Roman" w:eastAsia="楷体_GB2312" w:cs="Times New Roman"/>
          <w:b/>
          <w:color w:val="auto"/>
          <w:sz w:val="32"/>
          <w:szCs w:val="32"/>
          <w:highlight w:val="none"/>
        </w:rPr>
        <w:t>预算</w:t>
      </w:r>
      <w:r>
        <w:rPr>
          <w:rFonts w:hint="default" w:ascii="Times New Roman" w:hAnsi="Times New Roman" w:eastAsia="楷体_GB2312" w:cs="Times New Roman"/>
          <w:b/>
          <w:color w:val="auto"/>
          <w:sz w:val="32"/>
          <w:szCs w:val="32"/>
          <w:highlight w:val="none"/>
          <w:u w:val="none"/>
        </w:rPr>
        <w:t>下降</w:t>
      </w:r>
      <w:r>
        <w:rPr>
          <w:rFonts w:hint="eastAsia" w:ascii="Times New Roman" w:hAnsi="Times New Roman" w:eastAsia="仿宋_GB2312" w:cs="Times New Roman"/>
          <w:b/>
          <w:color w:val="auto"/>
          <w:sz w:val="32"/>
          <w:szCs w:val="32"/>
          <w:highlight w:val="none"/>
          <w:lang w:val="en-US" w:eastAsia="zh-CN"/>
        </w:rPr>
        <w:t>4</w:t>
      </w:r>
      <w:r>
        <w:rPr>
          <w:rFonts w:hint="default" w:ascii="Times New Roman" w:hAnsi="Times New Roman" w:eastAsia="楷体_GB2312" w:cs="Times New Roman"/>
          <w:b/>
          <w:color w:val="auto"/>
          <w:sz w:val="32"/>
          <w:szCs w:val="32"/>
          <w:highlight w:val="none"/>
        </w:rPr>
        <w:t>%。</w:t>
      </w:r>
      <w:r>
        <w:rPr>
          <w:rFonts w:hint="default" w:ascii="Times New Roman" w:hAnsi="Times New Roman" w:eastAsia="仿宋_GB2312" w:cs="Times New Roman"/>
          <w:color w:val="auto"/>
          <w:sz w:val="32"/>
          <w:szCs w:val="32"/>
          <w:highlight w:val="none"/>
        </w:rPr>
        <w:t>主要原因是</w:t>
      </w:r>
      <w:r>
        <w:rPr>
          <w:rFonts w:hint="eastAsia" w:ascii="Times New Roman" w:hAnsi="Times New Roman" w:eastAsia="仿宋_GB2312" w:cs="Times New Roman"/>
          <w:color w:val="auto"/>
          <w:sz w:val="32"/>
          <w:szCs w:val="32"/>
          <w:highlight w:val="none"/>
          <w:lang w:eastAsia="zh-CN"/>
        </w:rPr>
        <w:t>政府厉行节约，精简开支</w:t>
      </w:r>
      <w:r>
        <w:rPr>
          <w:rFonts w:hint="default" w:ascii="Times New Roman" w:hAnsi="Times New Roman" w:eastAsia="仿宋_GB2312" w:cs="Times New Roman"/>
          <w:color w:val="auto"/>
          <w:sz w:val="32"/>
          <w:szCs w:val="32"/>
          <w:highlight w:val="none"/>
        </w:rPr>
        <w:t>。</w:t>
      </w:r>
    </w:p>
    <w:p w14:paraId="45888DD7">
      <w:pPr>
        <w:suppressAutoHyphens/>
        <w:bidi w:val="0"/>
        <w:spacing w:line="58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2025</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公务接待费计划用于</w:t>
      </w:r>
      <w:r>
        <w:rPr>
          <w:rFonts w:hint="eastAsia" w:ascii="Times New Roman" w:hAnsi="Times New Roman" w:eastAsia="仿宋_GB2312" w:cs="Times New Roman"/>
          <w:color w:val="auto"/>
          <w:sz w:val="32"/>
          <w:szCs w:val="32"/>
          <w:highlight w:val="none"/>
          <w:lang w:eastAsia="zh-CN"/>
        </w:rPr>
        <w:t>项目迎检接待餐费</w:t>
      </w:r>
      <w:r>
        <w:rPr>
          <w:rFonts w:hint="default" w:ascii="Times New Roman" w:hAnsi="Times New Roman" w:eastAsia="仿宋_GB2312" w:cs="Times New Roman"/>
          <w:color w:val="auto"/>
          <w:sz w:val="32"/>
          <w:szCs w:val="32"/>
          <w:highlight w:val="none"/>
        </w:rPr>
        <w:t>。</w:t>
      </w:r>
    </w:p>
    <w:p w14:paraId="47C665BB">
      <w:pPr>
        <w:suppressAutoHyphens/>
        <w:bidi w:val="0"/>
        <w:spacing w:line="580" w:lineRule="exact"/>
        <w:ind w:firstLine="640"/>
        <w:rPr>
          <w:rFonts w:hint="default" w:ascii="Times New Roman" w:hAnsi="Times New Roman" w:eastAsia="黑体" w:cs="Times New Roman"/>
          <w:b/>
          <w:color w:val="auto"/>
          <w:sz w:val="32"/>
          <w:szCs w:val="32"/>
          <w:highlight w:val="none"/>
        </w:rPr>
      </w:pPr>
      <w:r>
        <w:rPr>
          <w:rFonts w:hint="default" w:ascii="Times New Roman" w:hAnsi="Times New Roman" w:eastAsia="楷体_GB2312" w:cs="Times New Roman"/>
          <w:b/>
          <w:color w:val="auto"/>
          <w:sz w:val="32"/>
          <w:szCs w:val="32"/>
          <w:highlight w:val="none"/>
        </w:rPr>
        <w:t>（</w:t>
      </w:r>
      <w:r>
        <w:rPr>
          <w:rFonts w:hint="default" w:ascii="Times New Roman" w:hAnsi="Times New Roman" w:eastAsia="楷体_GB2312" w:cs="Times New Roman"/>
          <w:b/>
          <w:color w:val="auto"/>
          <w:sz w:val="32"/>
          <w:szCs w:val="32"/>
          <w:highlight w:val="none"/>
          <w:lang w:eastAsia="zh-CN"/>
        </w:rPr>
        <w:t>三</w:t>
      </w:r>
      <w:r>
        <w:rPr>
          <w:rFonts w:hint="default" w:ascii="Times New Roman" w:hAnsi="Times New Roman" w:eastAsia="楷体_GB2312" w:cs="Times New Roman"/>
          <w:b/>
          <w:color w:val="auto"/>
          <w:sz w:val="32"/>
          <w:szCs w:val="32"/>
          <w:highlight w:val="none"/>
        </w:rPr>
        <w:t>）公务用车购置及运行维护费较</w:t>
      </w:r>
      <w:r>
        <w:rPr>
          <w:rFonts w:hint="eastAsia" w:ascii="Times New Roman" w:hAnsi="Times New Roman" w:eastAsia="楷体_GB2312" w:cs="Times New Roman"/>
          <w:b/>
          <w:color w:val="auto"/>
          <w:sz w:val="32"/>
          <w:szCs w:val="32"/>
          <w:highlight w:val="none"/>
          <w:lang w:eastAsia="zh-CN"/>
        </w:rPr>
        <w:t>2024</w:t>
      </w:r>
      <w:r>
        <w:rPr>
          <w:rFonts w:hint="default" w:ascii="Times New Roman" w:hAnsi="Times New Roman" w:eastAsia="楷体_GB2312" w:cs="Times New Roman"/>
          <w:b/>
          <w:color w:val="auto"/>
          <w:sz w:val="32"/>
          <w:szCs w:val="32"/>
          <w:highlight w:val="none"/>
          <w:lang w:eastAsia="zh-CN"/>
        </w:rPr>
        <w:t>年</w:t>
      </w:r>
      <w:r>
        <w:rPr>
          <w:rFonts w:hint="default" w:ascii="Times New Roman" w:hAnsi="Times New Roman" w:eastAsia="楷体_GB2312" w:cs="Times New Roman"/>
          <w:b/>
          <w:color w:val="auto"/>
          <w:sz w:val="32"/>
          <w:szCs w:val="32"/>
          <w:highlight w:val="none"/>
        </w:rPr>
        <w:t>预算</w:t>
      </w:r>
      <w:r>
        <w:rPr>
          <w:rFonts w:hint="default" w:ascii="Times New Roman" w:hAnsi="Times New Roman" w:eastAsia="楷体_GB2312" w:cs="Times New Roman"/>
          <w:b/>
          <w:color w:val="auto"/>
          <w:sz w:val="32"/>
          <w:szCs w:val="32"/>
          <w:highlight w:val="none"/>
          <w:u w:val="none"/>
        </w:rPr>
        <w:t>持平</w:t>
      </w:r>
      <w:r>
        <w:rPr>
          <w:rFonts w:hint="default" w:ascii="Times New Roman" w:hAnsi="Times New Roman" w:eastAsia="楷体_GB2312" w:cs="Times New Roman"/>
          <w:b/>
          <w:color w:val="auto"/>
          <w:sz w:val="32"/>
          <w:szCs w:val="32"/>
          <w:highlight w:val="none"/>
        </w:rPr>
        <w:t>。</w:t>
      </w:r>
      <w:r>
        <w:rPr>
          <w:rFonts w:hint="default" w:ascii="Times New Roman" w:hAnsi="Times New Roman" w:eastAsia="仿宋_GB2312" w:cs="Times New Roman"/>
          <w:color w:val="auto"/>
          <w:sz w:val="32"/>
          <w:szCs w:val="32"/>
          <w:highlight w:val="none"/>
        </w:rPr>
        <w:t>主要原因是</w:t>
      </w:r>
      <w:r>
        <w:rPr>
          <w:rFonts w:hint="eastAsia" w:ascii="Times New Roman" w:hAnsi="Times New Roman" w:eastAsia="仿宋_GB2312" w:cs="Times New Roman"/>
          <w:color w:val="auto"/>
          <w:sz w:val="32"/>
          <w:szCs w:val="32"/>
          <w:highlight w:val="none"/>
          <w:lang w:eastAsia="zh-CN"/>
        </w:rPr>
        <w:t>观塘镇没有</w:t>
      </w:r>
      <w:r>
        <w:rPr>
          <w:rFonts w:hint="eastAsia" w:ascii="Times New Roman" w:hAnsi="Times New Roman" w:eastAsia="仿宋_GB2312" w:cs="Times New Roman"/>
          <w:color w:val="auto"/>
          <w:sz w:val="32"/>
          <w:szCs w:val="32"/>
          <w:highlight w:val="none"/>
        </w:rPr>
        <w:t>安排</w:t>
      </w:r>
      <w:r>
        <w:rPr>
          <w:rFonts w:hint="eastAsia" w:ascii="Times New Roman" w:hAnsi="Times New Roman" w:eastAsia="仿宋_GB2312" w:cs="Times New Roman"/>
          <w:color w:val="auto"/>
          <w:sz w:val="32"/>
          <w:szCs w:val="32"/>
          <w:highlight w:val="none"/>
          <w:lang w:eastAsia="zh-CN"/>
        </w:rPr>
        <w:t>该项支出</w:t>
      </w:r>
      <w:r>
        <w:rPr>
          <w:rFonts w:hint="default" w:ascii="Times New Roman" w:hAnsi="Times New Roman" w:eastAsia="仿宋_GB2312" w:cs="Times New Roman"/>
          <w:color w:val="auto"/>
          <w:sz w:val="32"/>
          <w:szCs w:val="32"/>
          <w:highlight w:val="none"/>
        </w:rPr>
        <w:t>。</w:t>
      </w:r>
    </w:p>
    <w:p w14:paraId="579F0FD7">
      <w:pPr>
        <w:suppressAutoHyphens/>
        <w:bidi w:val="0"/>
        <w:spacing w:line="58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单位现有公务用车</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辆，其中：轿车</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辆，旅行车（含商务车）</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辆，越野车</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辆，大型客、货车</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p>
    <w:p w14:paraId="76CC523D">
      <w:pPr>
        <w:suppressAutoHyphens/>
        <w:bidi w:val="0"/>
        <w:spacing w:line="58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2025</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安排公务用车购置费</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拟</w:t>
      </w:r>
      <w:r>
        <w:rPr>
          <w:rFonts w:hint="default" w:ascii="Times New Roman" w:hAnsi="Times New Roman" w:eastAsia="仿宋_GB2312" w:cs="Times New Roman"/>
          <w:color w:val="auto"/>
          <w:sz w:val="32"/>
          <w:szCs w:val="32"/>
          <w:highlight w:val="none"/>
        </w:rPr>
        <w:t>购置公务用车</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辆，其中：轿车</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辆，旅行车（含商务车）</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辆，越野车</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辆，大型客、货车</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p>
    <w:p w14:paraId="1EBA55A0">
      <w:pPr>
        <w:suppressAutoHyphens/>
        <w:bidi w:val="0"/>
        <w:spacing w:line="58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2025</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安排公务用车运行维护费</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万元，用于</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辆公务用车支出。</w:t>
      </w:r>
    </w:p>
    <w:p w14:paraId="4F3E507B">
      <w:pPr>
        <w:suppressAutoHyphens/>
        <w:bidi w:val="0"/>
        <w:spacing w:line="580" w:lineRule="exact"/>
        <w:ind w:firstLine="640" w:firstLineChars="200"/>
        <w:outlineLvl w:val="1"/>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政府性基金预算支出</w:t>
      </w:r>
      <w:r>
        <w:rPr>
          <w:rFonts w:hint="default" w:ascii="Times New Roman" w:hAnsi="Times New Roman" w:eastAsia="黑体" w:cs="Times New Roman"/>
          <w:color w:val="auto"/>
          <w:sz w:val="32"/>
          <w:szCs w:val="32"/>
          <w:highlight w:val="none"/>
          <w:lang w:eastAsia="zh-CN"/>
        </w:rPr>
        <w:t>情况说明</w:t>
      </w:r>
    </w:p>
    <w:p w14:paraId="0283CE37">
      <w:pPr>
        <w:suppressAutoHyphens/>
        <w:bidi w:val="0"/>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观塘镇2025</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政府性基金预算支出</w:t>
      </w:r>
      <w:r>
        <w:rPr>
          <w:rFonts w:hint="eastAsia" w:ascii="Times New Roman" w:hAnsi="Times New Roman" w:eastAsia="仿宋_GB2312" w:cs="Times New Roman"/>
          <w:color w:val="auto"/>
          <w:sz w:val="32"/>
          <w:szCs w:val="32"/>
          <w:highlight w:val="none"/>
          <w:lang w:val="en-US" w:eastAsia="zh-CN"/>
        </w:rPr>
        <w:t>26</w:t>
      </w:r>
      <w:r>
        <w:rPr>
          <w:rFonts w:hint="default" w:ascii="Times New Roman" w:hAnsi="Times New Roman" w:eastAsia="仿宋_GB2312" w:cs="Times New Roman"/>
          <w:color w:val="auto"/>
          <w:sz w:val="32"/>
          <w:szCs w:val="32"/>
          <w:highlight w:val="none"/>
        </w:rPr>
        <w:t>万元，其中：基本支出</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万元，项目支出</w:t>
      </w:r>
      <w:r>
        <w:rPr>
          <w:rFonts w:hint="eastAsia" w:ascii="Times New Roman" w:hAnsi="Times New Roman" w:eastAsia="仿宋_GB2312" w:cs="Times New Roman"/>
          <w:color w:val="auto"/>
          <w:sz w:val="32"/>
          <w:szCs w:val="32"/>
          <w:highlight w:val="none"/>
          <w:lang w:val="en-US" w:eastAsia="zh-CN"/>
        </w:rPr>
        <w:t>26</w:t>
      </w:r>
      <w:r>
        <w:rPr>
          <w:rFonts w:hint="default" w:ascii="Times New Roman" w:hAnsi="Times New Roman" w:eastAsia="仿宋_GB2312" w:cs="Times New Roman"/>
          <w:color w:val="auto"/>
          <w:sz w:val="32"/>
          <w:szCs w:val="32"/>
          <w:highlight w:val="none"/>
        </w:rPr>
        <w:t>万元，比</w:t>
      </w:r>
      <w:r>
        <w:rPr>
          <w:rFonts w:hint="eastAsia"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预算数</w:t>
      </w:r>
      <w:r>
        <w:rPr>
          <w:rFonts w:hint="default" w:ascii="Times New Roman" w:hAnsi="Times New Roman" w:eastAsia="仿宋_GB2312" w:cs="Times New Roman"/>
          <w:color w:val="auto"/>
          <w:sz w:val="32"/>
          <w:szCs w:val="32"/>
          <w:highlight w:val="none"/>
          <w:u w:val="none"/>
        </w:rPr>
        <w:t>增加</w:t>
      </w: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rPr>
        <w:t>万元，主要原因是</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农村社会事业支出</w:t>
      </w:r>
      <w:r>
        <w:rPr>
          <w:rFonts w:hint="eastAsia" w:ascii="Times New Roman" w:hAnsi="Times New Roman" w:eastAsia="仿宋_GB2312" w:cs="Times New Roman"/>
          <w:color w:val="auto"/>
          <w:sz w:val="32"/>
          <w:szCs w:val="32"/>
          <w:highlight w:val="none"/>
          <w:lang w:eastAsia="zh-CN"/>
        </w:rPr>
        <w:t>上年结转</w:t>
      </w:r>
      <w:r>
        <w:rPr>
          <w:rFonts w:hint="default" w:ascii="Times New Roman" w:hAnsi="Times New Roman" w:eastAsia="仿宋_GB2312" w:cs="Times New Roman"/>
          <w:color w:val="auto"/>
          <w:sz w:val="32"/>
          <w:szCs w:val="32"/>
          <w:highlight w:val="none"/>
        </w:rPr>
        <w:t>。</w:t>
      </w:r>
    </w:p>
    <w:p w14:paraId="4AF445CE">
      <w:pPr>
        <w:suppressAutoHyphens/>
        <w:bidi w:val="0"/>
        <w:spacing w:line="580" w:lineRule="exact"/>
        <w:ind w:firstLine="640" w:firstLineChars="200"/>
        <w:outlineLvl w:val="9"/>
        <w:rPr>
          <w:rFonts w:hint="default"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、国有资本经营预算</w:t>
      </w:r>
      <w:r>
        <w:rPr>
          <w:rFonts w:hint="default" w:ascii="Times New Roman" w:hAnsi="Times New Roman" w:eastAsia="黑体" w:cs="Times New Roman"/>
          <w:color w:val="auto"/>
          <w:sz w:val="32"/>
          <w:szCs w:val="32"/>
          <w:highlight w:val="none"/>
          <w:lang w:eastAsia="zh-CN"/>
        </w:rPr>
        <w:t>情况说明</w:t>
      </w:r>
    </w:p>
    <w:p w14:paraId="53F1E423">
      <w:pPr>
        <w:suppressAutoHyphens/>
        <w:bidi w:val="0"/>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观塘镇2025</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没有使用国有资本经营预算拨款安排的支出。</w:t>
      </w:r>
    </w:p>
    <w:p w14:paraId="10465BB2">
      <w:pPr>
        <w:suppressAutoHyphens/>
        <w:bidi w:val="0"/>
        <w:spacing w:line="580" w:lineRule="exact"/>
        <w:ind w:firstLine="640" w:firstLineChars="200"/>
        <w:outlineLvl w:val="1"/>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其他重要事项的情况说明</w:t>
      </w:r>
    </w:p>
    <w:p w14:paraId="5B25A344">
      <w:pPr>
        <w:suppressAutoHyphens/>
        <w:bidi w:val="0"/>
        <w:spacing w:line="580" w:lineRule="exact"/>
        <w:ind w:firstLine="643" w:firstLineChars="200"/>
        <w:outlineLvl w:val="2"/>
        <w:rPr>
          <w:rFonts w:hint="default" w:ascii="Times New Roman" w:hAnsi="Times New Roman" w:eastAsia="楷体_GB2312" w:cs="Times New Roman"/>
          <w:b/>
          <w:color w:val="auto"/>
          <w:sz w:val="32"/>
          <w:szCs w:val="32"/>
          <w:highlight w:val="none"/>
          <w:lang w:eastAsia="zh-CN"/>
        </w:rPr>
      </w:pPr>
      <w:r>
        <w:rPr>
          <w:rFonts w:hint="default" w:ascii="Times New Roman" w:hAnsi="Times New Roman" w:eastAsia="楷体_GB2312" w:cs="Times New Roman"/>
          <w:b/>
          <w:color w:val="auto"/>
          <w:sz w:val="32"/>
          <w:szCs w:val="32"/>
          <w:highlight w:val="none"/>
        </w:rPr>
        <w:t>（一）机关运行经费</w:t>
      </w:r>
      <w:r>
        <w:rPr>
          <w:rFonts w:hint="default" w:ascii="Times New Roman" w:hAnsi="Times New Roman" w:eastAsia="楷体_GB2312" w:cs="Times New Roman"/>
          <w:b/>
          <w:color w:val="auto"/>
          <w:sz w:val="32"/>
          <w:szCs w:val="32"/>
          <w:highlight w:val="none"/>
          <w:lang w:eastAsia="zh-CN"/>
        </w:rPr>
        <w:t>情况</w:t>
      </w:r>
    </w:p>
    <w:p w14:paraId="38071962">
      <w:pPr>
        <w:suppressAutoHyphens/>
        <w:bidi w:val="0"/>
        <w:spacing w:line="58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2025</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观塘镇</w:t>
      </w:r>
      <w:r>
        <w:rPr>
          <w:rFonts w:hint="default" w:ascii="Times New Roman" w:hAnsi="Times New Roman" w:eastAsia="仿宋_GB2312" w:cs="Times New Roman"/>
          <w:color w:val="auto"/>
          <w:sz w:val="32"/>
          <w:szCs w:val="32"/>
          <w:highlight w:val="none"/>
        </w:rPr>
        <w:t>下属</w:t>
      </w:r>
      <w:r>
        <w:rPr>
          <w:rFonts w:hint="eastAsia" w:ascii="Times New Roman" w:hAnsi="Times New Roman" w:eastAsia="仿宋_GB2312" w:cs="Times New Roman"/>
          <w:color w:val="auto"/>
          <w:sz w:val="32"/>
          <w:szCs w:val="32"/>
          <w:highlight w:val="none"/>
          <w:lang w:eastAsia="zh-CN"/>
        </w:rPr>
        <w:t>广安市前锋区观塘镇人民政府</w:t>
      </w:r>
      <w:r>
        <w:rPr>
          <w:rFonts w:hint="default" w:ascii="Times New Roman" w:hAnsi="Times New Roman" w:eastAsia="仿宋_GB2312" w:cs="Times New Roman"/>
          <w:color w:val="auto"/>
          <w:sz w:val="32"/>
          <w:szCs w:val="32"/>
          <w:highlight w:val="none"/>
        </w:rPr>
        <w:t>等</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家行政单位的机关运行经费财政拨款预算为</w:t>
      </w:r>
      <w:r>
        <w:rPr>
          <w:rFonts w:hint="eastAsia" w:ascii="Times New Roman" w:hAnsi="Times New Roman" w:eastAsia="仿宋_GB2312" w:cs="Times New Roman"/>
          <w:color w:val="auto"/>
          <w:sz w:val="32"/>
          <w:szCs w:val="32"/>
          <w:highlight w:val="none"/>
          <w:lang w:eastAsia="zh-CN"/>
        </w:rPr>
        <w:t>306.8</w:t>
      </w:r>
      <w:r>
        <w:rPr>
          <w:rFonts w:hint="default" w:ascii="Times New Roman" w:hAnsi="Times New Roman" w:eastAsia="仿宋_GB2312" w:cs="Times New Roman"/>
          <w:color w:val="auto"/>
          <w:sz w:val="32"/>
          <w:szCs w:val="32"/>
          <w:highlight w:val="none"/>
        </w:rPr>
        <w:t>万元，比</w:t>
      </w:r>
      <w:r>
        <w:rPr>
          <w:rFonts w:hint="eastAsia"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预算</w:t>
      </w:r>
      <w:r>
        <w:rPr>
          <w:rFonts w:hint="eastAsia" w:ascii="Times New Roman" w:hAnsi="Times New Roman" w:eastAsia="仿宋_GB2312" w:cs="Times New Roman"/>
          <w:color w:val="auto"/>
          <w:sz w:val="32"/>
          <w:szCs w:val="32"/>
          <w:highlight w:val="none"/>
          <w:lang w:eastAsia="zh-CN"/>
        </w:rPr>
        <w:t>增加</w:t>
      </w:r>
      <w:r>
        <w:rPr>
          <w:rFonts w:hint="eastAsia" w:ascii="Times New Roman" w:hAnsi="Times New Roman" w:eastAsia="仿宋_GB2312" w:cs="Times New Roman"/>
          <w:color w:val="auto"/>
          <w:sz w:val="32"/>
          <w:szCs w:val="32"/>
          <w:highlight w:val="none"/>
          <w:lang w:val="en-US" w:eastAsia="zh-CN"/>
        </w:rPr>
        <w:t>45.26</w:t>
      </w:r>
      <w:r>
        <w:rPr>
          <w:rFonts w:hint="default"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上升</w:t>
      </w:r>
      <w:r>
        <w:rPr>
          <w:rFonts w:hint="eastAsia" w:ascii="Times New Roman" w:hAnsi="Times New Roman" w:eastAsia="仿宋_GB2312" w:cs="Times New Roman"/>
          <w:color w:val="auto"/>
          <w:sz w:val="32"/>
          <w:szCs w:val="32"/>
          <w:highlight w:val="none"/>
          <w:lang w:val="en-US" w:eastAsia="zh-CN"/>
        </w:rPr>
        <w:t>14.75</w:t>
      </w:r>
      <w:r>
        <w:rPr>
          <w:rFonts w:hint="default" w:ascii="Times New Roman" w:hAnsi="Times New Roman" w:eastAsia="仿宋_GB2312" w:cs="Times New Roman"/>
          <w:color w:val="auto"/>
          <w:sz w:val="32"/>
          <w:szCs w:val="32"/>
          <w:highlight w:val="none"/>
        </w:rPr>
        <w:t>%。主要原因是</w:t>
      </w:r>
      <w:r>
        <w:rPr>
          <w:rFonts w:hint="eastAsia" w:ascii="Times New Roman" w:hAnsi="Times New Roman" w:eastAsia="仿宋_GB2312" w:cs="Times New Roman"/>
          <w:color w:val="auto"/>
          <w:sz w:val="32"/>
          <w:szCs w:val="32"/>
          <w:highlight w:val="none"/>
          <w:lang w:eastAsia="zh-CN"/>
        </w:rPr>
        <w:t>办公费预算增加</w:t>
      </w:r>
      <w:r>
        <w:rPr>
          <w:rFonts w:hint="default" w:ascii="Times New Roman" w:hAnsi="Times New Roman" w:eastAsia="仿宋_GB2312" w:cs="Times New Roman"/>
          <w:color w:val="auto"/>
          <w:sz w:val="32"/>
          <w:szCs w:val="32"/>
          <w:highlight w:val="none"/>
        </w:rPr>
        <w:t>。</w:t>
      </w:r>
    </w:p>
    <w:p w14:paraId="5CB3DEE7">
      <w:pPr>
        <w:suppressAutoHyphens/>
        <w:bidi w:val="0"/>
        <w:spacing w:line="58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（二）政府采购情况</w:t>
      </w:r>
    </w:p>
    <w:p w14:paraId="39CB56E3">
      <w:pPr>
        <w:suppressAutoHyphens/>
        <w:bidi w:val="0"/>
        <w:spacing w:line="580" w:lineRule="exact"/>
        <w:ind w:firstLine="640" w:firstLineChars="200"/>
        <w:rPr>
          <w:rFonts w:hint="default" w:ascii="Times New Roman" w:hAnsi="Times New Roman" w:eastAsia="楷体_GB2312" w:cs="Times New Roman"/>
          <w:b/>
          <w:color w:val="auto"/>
          <w:sz w:val="32"/>
          <w:szCs w:val="32"/>
          <w:highlight w:val="none"/>
        </w:rPr>
      </w:pPr>
      <w:r>
        <w:rPr>
          <w:rFonts w:hint="eastAsia" w:ascii="Times New Roman" w:hAnsi="Times New Roman" w:eastAsia="仿宋_GB2312" w:cs="Times New Roman"/>
          <w:color w:val="auto"/>
          <w:sz w:val="32"/>
          <w:szCs w:val="32"/>
          <w:highlight w:val="none"/>
          <w:lang w:eastAsia="zh-CN"/>
        </w:rPr>
        <w:t>2025</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无政府采购项目，未安排政府采购预算。</w:t>
      </w:r>
    </w:p>
    <w:p w14:paraId="5F398A52">
      <w:pPr>
        <w:suppressAutoHyphens/>
        <w:bidi w:val="0"/>
        <w:spacing w:line="58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（三）国有资产占有使用情况</w:t>
      </w:r>
    </w:p>
    <w:p w14:paraId="544D7583">
      <w:pPr>
        <w:suppressAutoHyphens/>
        <w:bidi w:val="0"/>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eastAsia"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底，</w:t>
      </w:r>
      <w:r>
        <w:rPr>
          <w:rFonts w:hint="eastAsia" w:ascii="Times New Roman" w:hAnsi="Times New Roman" w:eastAsia="仿宋_GB2312" w:cs="Times New Roman"/>
          <w:color w:val="auto"/>
          <w:sz w:val="32"/>
          <w:szCs w:val="32"/>
          <w:highlight w:val="none"/>
          <w:lang w:eastAsia="zh-CN"/>
        </w:rPr>
        <w:t>观塘镇</w:t>
      </w:r>
      <w:r>
        <w:rPr>
          <w:rFonts w:hint="default" w:ascii="Times New Roman" w:hAnsi="Times New Roman" w:eastAsia="仿宋_GB2312" w:cs="Times New Roman"/>
          <w:color w:val="auto"/>
          <w:sz w:val="32"/>
          <w:szCs w:val="32"/>
          <w:highlight w:val="none"/>
        </w:rPr>
        <w:t>所属各预算单位共有车辆</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辆，其中，定向保障用车</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辆、执法执勤用车</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辆。单位价值200万元以上大型设备</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w:t>
      </w:r>
      <w:r>
        <w:rPr>
          <w:rFonts w:hint="default" w:ascii="Times New Roman" w:hAnsi="Times New Roman" w:eastAsia="仿宋_GB2312" w:cs="Times New Roman"/>
          <w:color w:val="auto"/>
          <w:sz w:val="32"/>
          <w:szCs w:val="32"/>
          <w:highlight w:val="none"/>
          <w:u w:val="none"/>
        </w:rPr>
        <w:t>（套）</w:t>
      </w:r>
      <w:r>
        <w:rPr>
          <w:rFonts w:hint="default" w:ascii="Times New Roman" w:hAnsi="Times New Roman" w:eastAsia="仿宋_GB2312" w:cs="Times New Roman"/>
          <w:color w:val="auto"/>
          <w:sz w:val="32"/>
          <w:szCs w:val="32"/>
          <w:highlight w:val="none"/>
        </w:rPr>
        <w:t>。</w:t>
      </w:r>
    </w:p>
    <w:p w14:paraId="692B32F7">
      <w:pPr>
        <w:suppressAutoHyphens/>
        <w:bidi w:val="0"/>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2025</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部门预算未安排购置车辆及单位价值200万元以上大型设备。</w:t>
      </w:r>
    </w:p>
    <w:p w14:paraId="4AF0C3E9">
      <w:pPr>
        <w:suppressAutoHyphens/>
        <w:bidi w:val="0"/>
        <w:spacing w:line="580" w:lineRule="exact"/>
        <w:ind w:firstLine="643" w:firstLineChars="200"/>
        <w:outlineLvl w:val="2"/>
        <w:rPr>
          <w:rFonts w:hint="default" w:ascii="Times New Roman" w:hAnsi="Times New Roman" w:eastAsia="楷体_GB2312" w:cs="Times New Roman"/>
          <w:b/>
          <w:color w:val="auto"/>
          <w:sz w:val="32"/>
          <w:szCs w:val="32"/>
          <w:highlight w:val="none"/>
          <w:lang w:eastAsia="zh-CN"/>
        </w:rPr>
      </w:pPr>
      <w:r>
        <w:rPr>
          <w:rFonts w:hint="default" w:ascii="Times New Roman" w:hAnsi="Times New Roman" w:eastAsia="楷体_GB2312" w:cs="Times New Roman"/>
          <w:b/>
          <w:color w:val="auto"/>
          <w:sz w:val="32"/>
          <w:szCs w:val="32"/>
          <w:highlight w:val="none"/>
        </w:rPr>
        <w:t>（四）</w:t>
      </w:r>
      <w:r>
        <w:rPr>
          <w:rFonts w:hint="default" w:ascii="Times New Roman" w:hAnsi="Times New Roman" w:eastAsia="楷体_GB2312" w:cs="Times New Roman"/>
          <w:b/>
          <w:color w:val="auto"/>
          <w:sz w:val="32"/>
          <w:szCs w:val="32"/>
          <w:highlight w:val="none"/>
          <w:lang w:eastAsia="zh-CN"/>
        </w:rPr>
        <w:t>预算绩效情况</w:t>
      </w:r>
    </w:p>
    <w:p w14:paraId="5BE6B92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2025</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eastAsia="zh-CN"/>
        </w:rPr>
        <w:t>观塘镇</w:t>
      </w:r>
      <w:r>
        <w:rPr>
          <w:rFonts w:hint="default" w:ascii="Times New Roman" w:hAnsi="Times New Roman" w:eastAsia="仿宋_GB2312" w:cs="Times New Roman"/>
          <w:color w:val="auto"/>
          <w:sz w:val="32"/>
          <w:szCs w:val="32"/>
          <w:highlight w:val="none"/>
          <w:lang w:val="en-US" w:eastAsia="zh-CN"/>
        </w:rPr>
        <w:t>开展绩效目标管理的项目</w:t>
      </w:r>
      <w:r>
        <w:rPr>
          <w:rFonts w:hint="eastAsia" w:ascii="Times New Roman" w:hAnsi="Times New Roman" w:eastAsia="仿宋_GB2312" w:cs="Times New Roman"/>
          <w:color w:val="auto"/>
          <w:sz w:val="32"/>
          <w:szCs w:val="32"/>
          <w:highlight w:val="none"/>
          <w:lang w:val="en-US" w:eastAsia="zh-CN"/>
        </w:rPr>
        <w:t>41</w:t>
      </w:r>
      <w:r>
        <w:rPr>
          <w:rFonts w:hint="default" w:ascii="Times New Roman" w:hAnsi="Times New Roman" w:eastAsia="仿宋_GB2312" w:cs="Times New Roman"/>
          <w:color w:val="auto"/>
          <w:sz w:val="32"/>
          <w:szCs w:val="32"/>
          <w:highlight w:val="none"/>
          <w:lang w:eastAsia="zh-CN"/>
        </w:rPr>
        <w:t>个，涉及预算</w:t>
      </w:r>
      <w:r>
        <w:rPr>
          <w:rFonts w:hint="eastAsia" w:ascii="Times New Roman" w:hAnsi="Times New Roman" w:eastAsia="仿宋_GB2312" w:cs="Times New Roman"/>
          <w:color w:val="auto"/>
          <w:sz w:val="32"/>
          <w:szCs w:val="32"/>
          <w:highlight w:val="none"/>
          <w:lang w:val="en-US" w:eastAsia="zh-CN"/>
        </w:rPr>
        <w:t>2026.04</w:t>
      </w:r>
      <w:r>
        <w:rPr>
          <w:rFonts w:hint="default" w:ascii="Times New Roman" w:hAnsi="Times New Roman" w:eastAsia="仿宋_GB2312" w:cs="Times New Roman"/>
          <w:color w:val="auto"/>
          <w:sz w:val="32"/>
          <w:szCs w:val="32"/>
          <w:highlight w:val="none"/>
          <w:lang w:eastAsia="zh-CN"/>
        </w:rPr>
        <w:t>万元。其中：人员类项目</w:t>
      </w:r>
      <w:r>
        <w:rPr>
          <w:rFonts w:hint="eastAsia"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lang w:eastAsia="zh-CN"/>
        </w:rPr>
        <w:t>个，涉及预算</w:t>
      </w:r>
      <w:r>
        <w:rPr>
          <w:rFonts w:hint="eastAsia" w:ascii="Times New Roman" w:hAnsi="Times New Roman" w:eastAsia="仿宋_GB2312" w:cs="Times New Roman"/>
          <w:color w:val="auto"/>
          <w:sz w:val="32"/>
          <w:szCs w:val="32"/>
          <w:highlight w:val="none"/>
          <w:lang w:val="en-US" w:eastAsia="zh-CN"/>
        </w:rPr>
        <w:t>1368.68</w:t>
      </w:r>
      <w:r>
        <w:rPr>
          <w:rFonts w:hint="default" w:ascii="Times New Roman" w:hAnsi="Times New Roman" w:eastAsia="仿宋_GB2312" w:cs="Times New Roman"/>
          <w:color w:val="auto"/>
          <w:sz w:val="32"/>
          <w:szCs w:val="32"/>
          <w:highlight w:val="none"/>
          <w:lang w:eastAsia="zh-CN"/>
        </w:rPr>
        <w:t>万元；运转类项目</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lang w:eastAsia="zh-CN"/>
        </w:rPr>
        <w:t>个，涉及预算</w:t>
      </w:r>
      <w:r>
        <w:rPr>
          <w:rFonts w:hint="eastAsia" w:ascii="Times New Roman" w:hAnsi="Times New Roman" w:eastAsia="仿宋_GB2312" w:cs="Times New Roman"/>
          <w:color w:val="auto"/>
          <w:sz w:val="32"/>
          <w:szCs w:val="32"/>
          <w:highlight w:val="none"/>
          <w:lang w:val="en-US" w:eastAsia="zh-CN"/>
        </w:rPr>
        <w:t>352.06</w:t>
      </w:r>
      <w:r>
        <w:rPr>
          <w:rFonts w:hint="default" w:ascii="Times New Roman" w:hAnsi="Times New Roman" w:eastAsia="仿宋_GB2312" w:cs="Times New Roman"/>
          <w:color w:val="auto"/>
          <w:sz w:val="32"/>
          <w:szCs w:val="32"/>
          <w:highlight w:val="none"/>
          <w:lang w:eastAsia="zh-CN"/>
        </w:rPr>
        <w:t>万元；特定目标类项目</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个，涉及预算</w:t>
      </w:r>
      <w:r>
        <w:rPr>
          <w:rFonts w:hint="eastAsia" w:ascii="Times New Roman" w:hAnsi="Times New Roman" w:eastAsia="仿宋_GB2312" w:cs="Times New Roman"/>
          <w:color w:val="auto"/>
          <w:sz w:val="32"/>
          <w:szCs w:val="32"/>
          <w:highlight w:val="none"/>
          <w:lang w:val="en-US" w:eastAsia="zh-CN"/>
        </w:rPr>
        <w:t>147.87</w:t>
      </w:r>
      <w:r>
        <w:rPr>
          <w:rFonts w:hint="default" w:ascii="Times New Roman" w:hAnsi="Times New Roman" w:eastAsia="仿宋_GB2312" w:cs="Times New Roman"/>
          <w:color w:val="auto"/>
          <w:sz w:val="32"/>
          <w:szCs w:val="32"/>
          <w:highlight w:val="none"/>
          <w:lang w:eastAsia="zh-CN"/>
        </w:rPr>
        <w:t>万元。</w:t>
      </w:r>
    </w:p>
    <w:bookmarkEnd w:id="0"/>
    <w:p w14:paraId="5D1C0CF3">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br w:type="page"/>
      </w:r>
    </w:p>
    <w:p w14:paraId="36AC5CFD">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F56EEE2">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D073F82">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6650050">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964B4EB">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F609F86">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78AB3C7">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C889B07">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0A79FC4">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DD016E5">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A6533CA">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A7FF9CC">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14:paraId="7F46E035">
      <w:pPr>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br w:type="page"/>
      </w:r>
    </w:p>
    <w:p w14:paraId="7FF23D28">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1.一般公共预算拨款收入：指</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级财政当年拨付的资金。</w:t>
      </w:r>
    </w:p>
    <w:p w14:paraId="0D12043B">
      <w:pPr>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2.上年结转：指以前年度尚未完成，结转到本年仍按原规定用途继续使用的资金。</w:t>
      </w:r>
    </w:p>
    <w:p w14:paraId="43997868">
      <w:pP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sz w:val="32"/>
          <w:szCs w:val="32"/>
          <w:highlight w:val="none"/>
          <w:lang w:val="en-US" w:eastAsia="zh-CN"/>
        </w:rPr>
        <w:t>3.一般公共服务(类)人大事务(款)行政运行(项)：</w:t>
      </w:r>
      <w:r>
        <w:rPr>
          <w:rFonts w:hint="eastAsia" w:ascii="Times New Roman" w:hAnsi="Times New Roman" w:eastAsia="仿宋_GB2312" w:cs="Times New Roman"/>
          <w:sz w:val="32"/>
          <w:szCs w:val="32"/>
          <w:lang w:eastAsia="zh-CN"/>
        </w:rPr>
        <w:t>指</w:t>
      </w:r>
      <w:r>
        <w:rPr>
          <w:rFonts w:hint="eastAsia" w:ascii="Times New Roman" w:hAnsi="Times New Roman" w:eastAsia="仿宋_GB2312" w:cs="Times New Roman"/>
          <w:sz w:val="32"/>
          <w:szCs w:val="32"/>
        </w:rPr>
        <w:t>开展人大工作的基本支出</w:t>
      </w:r>
      <w:r>
        <w:rPr>
          <w:rFonts w:hint="eastAsia" w:ascii="Times New Roman" w:hAnsi="Times New Roman" w:eastAsia="仿宋_GB2312" w:cs="Times New Roman"/>
          <w:sz w:val="32"/>
          <w:szCs w:val="32"/>
          <w:lang w:eastAsia="zh-CN"/>
        </w:rPr>
        <w:t>。</w:t>
      </w:r>
    </w:p>
    <w:p w14:paraId="3F00E838">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4.一般公共服务(类)人大事务(款)代表工作(项)：指人大代表开展各类视察等方面的支出。</w:t>
      </w:r>
    </w:p>
    <w:p w14:paraId="73DEBBD8">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5.一般公共服务(类)政府办公厅(室)及相关机构事务(款)行政运行(项): 指政府的基本支出。</w:t>
      </w:r>
    </w:p>
    <w:p w14:paraId="212F5746">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6.一般公共服务(类)政府办公厅(室)及相关机构事务(款)一般行政管理事务(项): 指政府的项目支出。</w:t>
      </w:r>
    </w:p>
    <w:p w14:paraId="40E99203">
      <w:pPr>
        <w:spacing w:line="600" w:lineRule="exact"/>
        <w:ind w:firstLine="640" w:firstLineChars="200"/>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7.政府办公厅(室)及相关机构事务</w:t>
      </w:r>
      <w:r>
        <w:rPr>
          <w:rFonts w:hint="eastAsia" w:ascii="Times New Roman" w:hAnsi="Times New Roman" w:eastAsia="仿宋_GB2312"/>
          <w:sz w:val="32"/>
          <w:szCs w:val="32"/>
          <w:highlight w:val="none"/>
          <w:lang w:val="en-US" w:eastAsia="zh-CN"/>
        </w:rPr>
        <w:t>（款）事业运行（项）:指事业单位的基本支出。</w:t>
      </w:r>
    </w:p>
    <w:p w14:paraId="740079D6">
      <w:pPr>
        <w:spacing w:line="600" w:lineRule="exact"/>
        <w:ind w:firstLine="640" w:firstLineChars="200"/>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lang w:val="en-US" w:eastAsia="zh-CN"/>
        </w:rPr>
        <w:t>.一般公共服务(类)政府办公厅(室)及相关机构事务(款)其他政府办公厅(室)及相关机构事务(项): 指项目以外的其他政府支出。</w:t>
      </w:r>
    </w:p>
    <w:p w14:paraId="548BD35F">
      <w:pPr>
        <w:spacing w:line="600" w:lineRule="exact"/>
        <w:ind w:firstLine="640" w:firstLineChars="200"/>
        <w:rPr>
          <w:rFonts w:hint="eastAsia"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lang w:val="en-US" w:eastAsia="zh-CN"/>
        </w:rPr>
        <w:t>一般公共服务(类)纪检监察事务(款)行政运行(项): 指纪检监察的基本支出。</w:t>
      </w:r>
    </w:p>
    <w:p w14:paraId="1D5E52B9">
      <w:pPr>
        <w:spacing w:line="600" w:lineRule="exact"/>
        <w:ind w:firstLine="640" w:firstLineChars="200"/>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lang w:val="en-US" w:eastAsia="zh-CN"/>
        </w:rPr>
        <w:t>一般公共服务(类)党委办公厅(室)及相关机构事务(款)行政运行(项): 指党委的基本支出。</w:t>
      </w:r>
    </w:p>
    <w:p w14:paraId="106A07CC">
      <w:pPr>
        <w:spacing w:line="600" w:lineRule="exact"/>
        <w:ind w:firstLine="640" w:firstLineChars="200"/>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11.</w:t>
      </w:r>
      <w:r>
        <w:rPr>
          <w:rFonts w:hint="eastAsia" w:ascii="Times New Roman" w:hAnsi="Times New Roman" w:eastAsia="仿宋_GB2312"/>
          <w:sz w:val="32"/>
          <w:szCs w:val="32"/>
          <w:highlight w:val="none"/>
          <w:lang w:val="en-US" w:eastAsia="zh-CN"/>
        </w:rPr>
        <w:t>文化体育与传媒(类)文化(款)群众文化(项): 指群众文化方面的支出。</w:t>
      </w:r>
    </w:p>
    <w:p w14:paraId="5ECE7713">
      <w:pPr>
        <w:spacing w:line="600" w:lineRule="exact"/>
        <w:ind w:firstLine="640" w:firstLineChars="200"/>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12.</w:t>
      </w:r>
      <w:r>
        <w:rPr>
          <w:rFonts w:hint="eastAsia" w:ascii="Times New Roman" w:hAnsi="Times New Roman" w:eastAsia="仿宋_GB2312"/>
          <w:sz w:val="32"/>
          <w:szCs w:val="32"/>
          <w:highlight w:val="none"/>
          <w:lang w:val="en-US" w:eastAsia="zh-CN"/>
        </w:rPr>
        <w:t>文化体育与传媒(类)文物(款)文物保护(项): 指文物保护的支出。</w:t>
      </w:r>
    </w:p>
    <w:p w14:paraId="068F35BC">
      <w:pPr>
        <w:spacing w:line="600" w:lineRule="exact"/>
        <w:ind w:firstLine="640" w:firstLineChars="200"/>
        <w:rPr>
          <w:rFonts w:hint="eastAsia"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13.</w:t>
      </w:r>
      <w:r>
        <w:rPr>
          <w:rFonts w:hint="eastAsia" w:ascii="Times New Roman" w:hAnsi="Times New Roman" w:eastAsia="仿宋_GB2312"/>
          <w:sz w:val="32"/>
          <w:szCs w:val="32"/>
          <w:highlight w:val="none"/>
          <w:lang w:val="en-US" w:eastAsia="zh-CN"/>
        </w:rPr>
        <w:t>社会保障和就业(类)人力资源和社会保障管理事务(款)其他人力资源和社会保障管理事务(项): 指</w:t>
      </w:r>
      <w:r>
        <w:rPr>
          <w:rFonts w:hint="eastAsia" w:ascii="Times New Roman" w:hAnsi="Times New Roman" w:eastAsia="仿宋_GB2312" w:cs="Times New Roman"/>
          <w:sz w:val="32"/>
          <w:szCs w:val="32"/>
        </w:rPr>
        <w:t>用于人力资源和社会保障管理事务方面的支出</w:t>
      </w:r>
      <w:r>
        <w:rPr>
          <w:rFonts w:hint="eastAsia" w:ascii="Times New Roman" w:hAnsi="Times New Roman" w:eastAsia="仿宋_GB2312"/>
          <w:sz w:val="32"/>
          <w:szCs w:val="32"/>
          <w:highlight w:val="none"/>
          <w:lang w:val="en-US" w:eastAsia="zh-CN"/>
        </w:rPr>
        <w:t>。</w:t>
      </w:r>
    </w:p>
    <w:p w14:paraId="67D054F4">
      <w:pPr>
        <w:spacing w:line="600" w:lineRule="exact"/>
        <w:ind w:firstLine="640" w:firstLineChars="200"/>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14.</w:t>
      </w:r>
      <w:r>
        <w:rPr>
          <w:rFonts w:hint="eastAsia" w:ascii="Times New Roman" w:hAnsi="Times New Roman" w:eastAsia="仿宋_GB2312"/>
          <w:sz w:val="32"/>
          <w:szCs w:val="32"/>
          <w:highlight w:val="none"/>
          <w:lang w:val="en-US" w:eastAsia="zh-CN"/>
        </w:rPr>
        <w:t>社会保障和就业(类)</w:t>
      </w:r>
      <w:r>
        <w:rPr>
          <w:rFonts w:hint="default" w:ascii="Times New Roman" w:hAnsi="Times New Roman" w:eastAsia="仿宋_GB2312"/>
          <w:sz w:val="32"/>
          <w:szCs w:val="32"/>
          <w:highlight w:val="none"/>
          <w:lang w:val="en-US" w:eastAsia="zh-CN"/>
        </w:rPr>
        <w:t>行政事业单位养老支出</w:t>
      </w:r>
      <w:r>
        <w:rPr>
          <w:rFonts w:hint="eastAsia" w:ascii="Times New Roman" w:hAnsi="Times New Roman" w:eastAsia="仿宋_GB2312"/>
          <w:sz w:val="32"/>
          <w:szCs w:val="32"/>
          <w:highlight w:val="none"/>
          <w:lang w:val="en-US" w:eastAsia="zh-CN"/>
        </w:rPr>
        <w:t>（款）机关事业单位基本养老保险缴费(项): 指机关事业单位实施养老保险制度由单位缴纳的基本养老保险支出。</w:t>
      </w:r>
    </w:p>
    <w:p w14:paraId="355D7658">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w:t>
      </w:r>
      <w:r>
        <w:rPr>
          <w:rFonts w:hint="default" w:ascii="Times New Roman" w:hAnsi="Times New Roman" w:eastAsia="仿宋_GB2312"/>
          <w:sz w:val="32"/>
          <w:szCs w:val="32"/>
          <w:highlight w:val="none"/>
          <w:lang w:val="en-US" w:eastAsia="zh-CN"/>
        </w:rPr>
        <w:t>.卫生健康支出（类）行政事业单位医疗</w:t>
      </w:r>
      <w:r>
        <w:rPr>
          <w:rFonts w:hint="eastAsia" w:ascii="Times New Roman" w:hAnsi="Times New Roman" w:eastAsia="仿宋_GB2312"/>
          <w:sz w:val="32"/>
          <w:szCs w:val="32"/>
          <w:highlight w:val="none"/>
          <w:lang w:val="en-US" w:eastAsia="zh-CN"/>
        </w:rPr>
        <w:t>（款）</w:t>
      </w:r>
      <w:r>
        <w:rPr>
          <w:rFonts w:hint="default" w:ascii="Times New Roman" w:hAnsi="Times New Roman" w:eastAsia="仿宋_GB2312"/>
          <w:sz w:val="32"/>
          <w:szCs w:val="32"/>
          <w:highlight w:val="none"/>
          <w:lang w:val="en-US" w:eastAsia="zh-CN"/>
        </w:rPr>
        <w:t>行政单位医疗</w:t>
      </w:r>
      <w:r>
        <w:rPr>
          <w:rFonts w:hint="eastAsia" w:ascii="Times New Roman" w:hAnsi="Times New Roman" w:eastAsia="仿宋_GB2312"/>
          <w:sz w:val="32"/>
          <w:szCs w:val="32"/>
          <w:highlight w:val="none"/>
          <w:lang w:val="en-US" w:eastAsia="zh-CN"/>
        </w:rPr>
        <w:t>（项）</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指财政部门集中安排的行政单位基本医疗保险缴费经费。</w:t>
      </w:r>
    </w:p>
    <w:p w14:paraId="7640B362">
      <w:pPr>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w:t>
      </w:r>
      <w:r>
        <w:rPr>
          <w:rFonts w:hint="default" w:ascii="Times New Roman" w:hAnsi="Times New Roman" w:eastAsia="仿宋_GB2312"/>
          <w:sz w:val="32"/>
          <w:szCs w:val="32"/>
          <w:highlight w:val="none"/>
          <w:lang w:val="en-US" w:eastAsia="zh-CN"/>
        </w:rPr>
        <w:t>.卫生健康支出（类）行政事业单位医疗</w:t>
      </w:r>
      <w:r>
        <w:rPr>
          <w:rFonts w:hint="eastAsia" w:ascii="Times New Roman" w:hAnsi="Times New Roman" w:eastAsia="仿宋_GB2312"/>
          <w:sz w:val="32"/>
          <w:szCs w:val="32"/>
          <w:highlight w:val="none"/>
          <w:lang w:val="en-US" w:eastAsia="zh-CN"/>
        </w:rPr>
        <w:t>（款）</w:t>
      </w:r>
      <w:r>
        <w:rPr>
          <w:rFonts w:hint="default" w:ascii="Times New Roman" w:hAnsi="Times New Roman" w:eastAsia="仿宋_GB2312"/>
          <w:sz w:val="32"/>
          <w:szCs w:val="32"/>
          <w:highlight w:val="none"/>
          <w:lang w:val="en-US" w:eastAsia="zh-CN"/>
        </w:rPr>
        <w:t>事业单位医疗</w:t>
      </w:r>
      <w:r>
        <w:rPr>
          <w:rFonts w:hint="eastAsia" w:ascii="Times New Roman" w:hAnsi="Times New Roman" w:eastAsia="仿宋_GB2312"/>
          <w:sz w:val="32"/>
          <w:szCs w:val="32"/>
          <w:highlight w:val="none"/>
          <w:lang w:val="en-US" w:eastAsia="zh-CN"/>
        </w:rPr>
        <w:t>（项）</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指财政部门集中安排的事业单位基本医疗保险缴费经费。</w:t>
      </w:r>
    </w:p>
    <w:p w14:paraId="2C8DF3C9">
      <w:pPr>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w:t>
      </w:r>
      <w:r>
        <w:rPr>
          <w:rFonts w:hint="default" w:ascii="Times New Roman" w:hAnsi="Times New Roman" w:eastAsia="仿宋_GB2312"/>
          <w:sz w:val="32"/>
          <w:szCs w:val="32"/>
          <w:highlight w:val="none"/>
          <w:lang w:val="en-US" w:eastAsia="zh-CN"/>
        </w:rPr>
        <w:t>.卫生健康支出（类）行政事业单位医疗</w:t>
      </w:r>
      <w:r>
        <w:rPr>
          <w:rFonts w:hint="eastAsia" w:ascii="Times New Roman" w:hAnsi="Times New Roman" w:eastAsia="仿宋_GB2312"/>
          <w:sz w:val="32"/>
          <w:szCs w:val="32"/>
          <w:highlight w:val="none"/>
          <w:lang w:val="en-US" w:eastAsia="zh-CN"/>
        </w:rPr>
        <w:t>（款）</w:t>
      </w:r>
      <w:r>
        <w:rPr>
          <w:rFonts w:hint="default" w:ascii="Times New Roman" w:hAnsi="Times New Roman" w:eastAsia="仿宋_GB2312"/>
          <w:sz w:val="32"/>
          <w:szCs w:val="32"/>
          <w:highlight w:val="none"/>
          <w:lang w:val="en-US" w:eastAsia="zh-CN"/>
        </w:rPr>
        <w:t>公务员医疗补助</w:t>
      </w:r>
      <w:r>
        <w:rPr>
          <w:rFonts w:hint="eastAsia" w:ascii="Times New Roman" w:hAnsi="Times New Roman" w:eastAsia="仿宋_GB2312"/>
          <w:sz w:val="32"/>
          <w:szCs w:val="32"/>
          <w:highlight w:val="none"/>
          <w:lang w:val="en-US" w:eastAsia="zh-CN"/>
        </w:rPr>
        <w:t>（项）：指财政部门集中安排的公务员医疗补助经费。</w:t>
      </w:r>
    </w:p>
    <w:p w14:paraId="32E8EAB0">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w:t>
      </w:r>
      <w:r>
        <w:rPr>
          <w:rFonts w:hint="default" w:ascii="Times New Roman" w:hAnsi="Times New Roman" w:eastAsia="仿宋_GB2312"/>
          <w:sz w:val="32"/>
          <w:szCs w:val="32"/>
          <w:highlight w:val="none"/>
          <w:lang w:val="en-US" w:eastAsia="zh-CN"/>
        </w:rPr>
        <w:t>城乡社区支出（类）城乡社区管理事务</w:t>
      </w:r>
      <w:r>
        <w:rPr>
          <w:rFonts w:hint="eastAsia" w:ascii="Times New Roman" w:hAnsi="Times New Roman" w:eastAsia="仿宋_GB2312"/>
          <w:sz w:val="32"/>
          <w:szCs w:val="32"/>
          <w:highlight w:val="none"/>
          <w:lang w:val="en-US" w:eastAsia="zh-CN"/>
        </w:rPr>
        <w:t>（款）</w:t>
      </w:r>
      <w:r>
        <w:rPr>
          <w:rFonts w:hint="default" w:ascii="Times New Roman" w:hAnsi="Times New Roman" w:eastAsia="仿宋_GB2312"/>
          <w:sz w:val="32"/>
          <w:szCs w:val="32"/>
          <w:highlight w:val="none"/>
          <w:lang w:val="en-US" w:eastAsia="zh-CN"/>
        </w:rPr>
        <w:t>其他城乡社区管理事务</w:t>
      </w:r>
      <w:r>
        <w:rPr>
          <w:rFonts w:hint="eastAsia" w:ascii="Times New Roman" w:hAnsi="Times New Roman" w:eastAsia="仿宋_GB2312"/>
          <w:sz w:val="32"/>
          <w:szCs w:val="32"/>
          <w:highlight w:val="none"/>
          <w:lang w:val="en-US" w:eastAsia="zh-CN"/>
        </w:rPr>
        <w:t>（项）</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指城乡社区管理的基本支出。</w:t>
      </w:r>
    </w:p>
    <w:p w14:paraId="14237019">
      <w:pPr>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w:t>
      </w:r>
      <w:r>
        <w:rPr>
          <w:rFonts w:hint="default" w:ascii="Times New Roman" w:hAnsi="Times New Roman" w:eastAsia="仿宋_GB2312"/>
          <w:sz w:val="32"/>
          <w:szCs w:val="32"/>
          <w:highlight w:val="none"/>
          <w:lang w:val="en-US" w:eastAsia="zh-CN"/>
        </w:rPr>
        <w:t>农林水支出（类）农业农村</w:t>
      </w:r>
      <w:r>
        <w:rPr>
          <w:rFonts w:hint="eastAsia" w:ascii="Times New Roman" w:hAnsi="Times New Roman" w:eastAsia="仿宋_GB2312"/>
          <w:sz w:val="32"/>
          <w:szCs w:val="32"/>
          <w:highlight w:val="none"/>
          <w:lang w:val="en-US" w:eastAsia="zh-CN"/>
        </w:rPr>
        <w:t>（款）</w:t>
      </w:r>
      <w:r>
        <w:rPr>
          <w:rFonts w:hint="default" w:ascii="Times New Roman" w:hAnsi="Times New Roman" w:eastAsia="仿宋_GB2312"/>
          <w:sz w:val="32"/>
          <w:szCs w:val="32"/>
          <w:highlight w:val="none"/>
          <w:lang w:val="en-US" w:eastAsia="zh-CN"/>
        </w:rPr>
        <w:t>事业运行</w:t>
      </w:r>
      <w:r>
        <w:rPr>
          <w:rFonts w:hint="eastAsia" w:ascii="Times New Roman" w:hAnsi="Times New Roman" w:eastAsia="仿宋_GB2312"/>
          <w:sz w:val="32"/>
          <w:szCs w:val="32"/>
          <w:highlight w:val="none"/>
          <w:lang w:val="en-US" w:eastAsia="zh-CN"/>
        </w:rPr>
        <w:t>（项）</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指农业方面的基本支出。</w:t>
      </w:r>
    </w:p>
    <w:p w14:paraId="1E8806DA">
      <w:pPr>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w:t>
      </w:r>
      <w:r>
        <w:rPr>
          <w:rFonts w:hint="default" w:ascii="Times New Roman" w:hAnsi="Times New Roman" w:eastAsia="仿宋_GB2312"/>
          <w:sz w:val="32"/>
          <w:szCs w:val="32"/>
          <w:highlight w:val="none"/>
          <w:lang w:val="en-US" w:eastAsia="zh-CN"/>
        </w:rPr>
        <w:t>农林水支出（类）林业和草原</w:t>
      </w:r>
      <w:r>
        <w:rPr>
          <w:rFonts w:hint="eastAsia" w:ascii="Times New Roman" w:hAnsi="Times New Roman" w:eastAsia="仿宋_GB2312"/>
          <w:sz w:val="32"/>
          <w:szCs w:val="32"/>
          <w:highlight w:val="none"/>
          <w:lang w:val="en-US" w:eastAsia="zh-CN"/>
        </w:rPr>
        <w:t>（款）</w:t>
      </w:r>
      <w:r>
        <w:rPr>
          <w:rFonts w:hint="default" w:ascii="Times New Roman" w:hAnsi="Times New Roman" w:eastAsia="仿宋_GB2312"/>
          <w:sz w:val="32"/>
          <w:szCs w:val="32"/>
          <w:highlight w:val="none"/>
          <w:lang w:val="en-US" w:eastAsia="zh-CN"/>
        </w:rPr>
        <w:t>事业机构</w:t>
      </w:r>
      <w:r>
        <w:rPr>
          <w:rFonts w:hint="eastAsia" w:ascii="Times New Roman" w:hAnsi="Times New Roman" w:eastAsia="仿宋_GB2312"/>
          <w:sz w:val="32"/>
          <w:szCs w:val="32"/>
          <w:highlight w:val="none"/>
          <w:lang w:val="en-US" w:eastAsia="zh-CN"/>
        </w:rPr>
        <w:t>（项）</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指林业方面的基本支出。</w:t>
      </w:r>
    </w:p>
    <w:p w14:paraId="0425A990">
      <w:pPr>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w:t>
      </w:r>
      <w:r>
        <w:rPr>
          <w:rFonts w:hint="default" w:ascii="Times New Roman" w:hAnsi="Times New Roman" w:eastAsia="仿宋_GB2312"/>
          <w:sz w:val="32"/>
          <w:szCs w:val="32"/>
          <w:highlight w:val="none"/>
          <w:lang w:val="en-US" w:eastAsia="zh-CN"/>
        </w:rPr>
        <w:t>农林水支出（类）水利</w:t>
      </w:r>
      <w:r>
        <w:rPr>
          <w:rFonts w:hint="eastAsia" w:ascii="Times New Roman" w:hAnsi="Times New Roman" w:eastAsia="仿宋_GB2312"/>
          <w:sz w:val="32"/>
          <w:szCs w:val="32"/>
          <w:highlight w:val="none"/>
          <w:lang w:val="en-US" w:eastAsia="zh-CN"/>
        </w:rPr>
        <w:t>（款）</w:t>
      </w:r>
      <w:r>
        <w:rPr>
          <w:rFonts w:hint="default" w:ascii="Times New Roman" w:hAnsi="Times New Roman" w:eastAsia="仿宋_GB2312"/>
          <w:sz w:val="32"/>
          <w:szCs w:val="32"/>
          <w:highlight w:val="none"/>
          <w:lang w:val="en-US" w:eastAsia="zh-CN"/>
        </w:rPr>
        <w:t>水利技术推广</w:t>
      </w:r>
      <w:r>
        <w:rPr>
          <w:rFonts w:hint="eastAsia" w:ascii="Times New Roman" w:hAnsi="Times New Roman" w:eastAsia="仿宋_GB2312"/>
          <w:sz w:val="32"/>
          <w:szCs w:val="32"/>
          <w:highlight w:val="none"/>
          <w:lang w:val="en-US" w:eastAsia="zh-CN"/>
        </w:rPr>
        <w:t>（项）</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指水利方面的基本支出。</w:t>
      </w:r>
    </w:p>
    <w:p w14:paraId="75FEAFE3">
      <w:pPr>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w:t>
      </w:r>
      <w:r>
        <w:rPr>
          <w:rFonts w:hint="default" w:ascii="Times New Roman" w:hAnsi="Times New Roman" w:eastAsia="仿宋_GB2312"/>
          <w:sz w:val="32"/>
          <w:szCs w:val="32"/>
          <w:highlight w:val="none"/>
          <w:lang w:val="en-US" w:eastAsia="zh-CN"/>
        </w:rPr>
        <w:t>农林水支出（类）农村综合改革</w:t>
      </w:r>
      <w:r>
        <w:rPr>
          <w:rFonts w:hint="eastAsia" w:ascii="Times New Roman" w:hAnsi="Times New Roman" w:eastAsia="仿宋_GB2312"/>
          <w:sz w:val="32"/>
          <w:szCs w:val="32"/>
          <w:highlight w:val="none"/>
          <w:lang w:val="en-US" w:eastAsia="zh-CN"/>
        </w:rPr>
        <w:t>（款）</w:t>
      </w:r>
      <w:r>
        <w:rPr>
          <w:rFonts w:hint="default" w:ascii="Times New Roman" w:hAnsi="Times New Roman" w:eastAsia="仿宋_GB2312"/>
          <w:sz w:val="32"/>
          <w:szCs w:val="32"/>
          <w:highlight w:val="none"/>
          <w:lang w:val="en-US" w:eastAsia="zh-CN"/>
        </w:rPr>
        <w:t>对村民委员会和村党支部的补助</w:t>
      </w:r>
      <w:r>
        <w:rPr>
          <w:rFonts w:hint="eastAsia" w:ascii="Times New Roman" w:hAnsi="Times New Roman" w:eastAsia="仿宋_GB2312"/>
          <w:sz w:val="32"/>
          <w:szCs w:val="32"/>
          <w:highlight w:val="none"/>
          <w:lang w:val="en-US" w:eastAsia="zh-CN"/>
        </w:rPr>
        <w:t>（项）</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指财政对村民委员会和村党支部的补助支出。</w:t>
      </w:r>
    </w:p>
    <w:p w14:paraId="2A7A3C61">
      <w:pPr>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w:t>
      </w:r>
      <w:r>
        <w:rPr>
          <w:rFonts w:hint="default" w:ascii="Times New Roman" w:hAnsi="Times New Roman" w:eastAsia="仿宋_GB2312"/>
          <w:sz w:val="32"/>
          <w:szCs w:val="32"/>
          <w:highlight w:val="none"/>
          <w:lang w:val="en-US" w:eastAsia="zh-CN"/>
        </w:rPr>
        <w:t>农林水支出（类）农林水支出（</w:t>
      </w:r>
      <w:r>
        <w:rPr>
          <w:rFonts w:hint="eastAsia" w:ascii="Times New Roman" w:hAnsi="Times New Roman" w:eastAsia="仿宋_GB2312"/>
          <w:sz w:val="32"/>
          <w:szCs w:val="32"/>
          <w:highlight w:val="none"/>
          <w:lang w:val="en-US" w:eastAsia="zh-CN"/>
        </w:rPr>
        <w:t>款</w:t>
      </w:r>
      <w:r>
        <w:rPr>
          <w:rFonts w:hint="default" w:ascii="Times New Roman" w:hAnsi="Times New Roman" w:eastAsia="仿宋_GB2312"/>
          <w:sz w:val="32"/>
          <w:szCs w:val="32"/>
          <w:highlight w:val="none"/>
          <w:lang w:val="en-US" w:eastAsia="zh-CN"/>
        </w:rPr>
        <w:t>）农村综合改革示范试点补助</w:t>
      </w:r>
      <w:r>
        <w:rPr>
          <w:rFonts w:hint="eastAsia" w:ascii="Times New Roman" w:hAnsi="Times New Roman" w:eastAsia="仿宋_GB2312"/>
          <w:sz w:val="32"/>
          <w:szCs w:val="32"/>
          <w:highlight w:val="none"/>
          <w:lang w:val="en-US" w:eastAsia="zh-CN"/>
        </w:rPr>
        <w:t>（项）:指财政对农村综合改革示范点的补助支出。</w:t>
      </w:r>
    </w:p>
    <w:p w14:paraId="28158CA6">
      <w:pPr>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w:t>
      </w:r>
      <w:r>
        <w:rPr>
          <w:rFonts w:hint="default" w:ascii="Times New Roman" w:hAnsi="Times New Roman" w:eastAsia="仿宋_GB2312"/>
          <w:sz w:val="32"/>
          <w:szCs w:val="32"/>
          <w:highlight w:val="none"/>
          <w:lang w:val="en-US" w:eastAsia="zh-CN"/>
        </w:rPr>
        <w:t>交通运输（类）公路水路运输</w:t>
      </w:r>
      <w:r>
        <w:rPr>
          <w:rFonts w:hint="eastAsia" w:ascii="Times New Roman" w:hAnsi="Times New Roman" w:eastAsia="仿宋_GB2312"/>
          <w:sz w:val="32"/>
          <w:szCs w:val="32"/>
          <w:highlight w:val="none"/>
          <w:lang w:val="en-US" w:eastAsia="zh-CN"/>
        </w:rPr>
        <w:t>（款）</w:t>
      </w:r>
      <w:r>
        <w:rPr>
          <w:rFonts w:hint="default" w:ascii="Times New Roman" w:hAnsi="Times New Roman" w:eastAsia="仿宋_GB2312"/>
          <w:sz w:val="32"/>
          <w:szCs w:val="32"/>
          <w:highlight w:val="none"/>
          <w:lang w:val="en-US" w:eastAsia="zh-CN"/>
        </w:rPr>
        <w:t>其他公路水路运输支出</w:t>
      </w:r>
      <w:r>
        <w:rPr>
          <w:rFonts w:hint="eastAsia" w:ascii="Times New Roman" w:hAnsi="Times New Roman" w:eastAsia="仿宋_GB2312"/>
          <w:sz w:val="32"/>
          <w:szCs w:val="32"/>
          <w:highlight w:val="none"/>
          <w:lang w:val="en-US" w:eastAsia="zh-CN"/>
        </w:rPr>
        <w:t>（项）</w:t>
      </w:r>
      <w:r>
        <w:rPr>
          <w:rFonts w:hint="default"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指公益性渡口等其他交通运输项目支出。</w:t>
      </w:r>
    </w:p>
    <w:p w14:paraId="12677CC8">
      <w:pPr>
        <w:spacing w:line="240" w:lineRule="auto"/>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w:t>
      </w:r>
      <w:r>
        <w:rPr>
          <w:rFonts w:hint="default" w:ascii="Times New Roman" w:hAnsi="Times New Roman" w:eastAsia="仿宋_GB2312"/>
          <w:sz w:val="32"/>
          <w:szCs w:val="32"/>
          <w:highlight w:val="none"/>
          <w:lang w:val="en-US" w:eastAsia="zh-CN"/>
        </w:rPr>
        <w:t>住房保障支出</w:t>
      </w:r>
      <w:r>
        <w:rPr>
          <w:rFonts w:hint="eastAsia" w:ascii="Times New Roman" w:hAnsi="Times New Roman" w:eastAsia="仿宋_GB2312"/>
          <w:sz w:val="32"/>
          <w:szCs w:val="32"/>
          <w:highlight w:val="none"/>
          <w:lang w:val="en-US" w:eastAsia="zh-CN"/>
        </w:rPr>
        <w:t>（类）</w:t>
      </w:r>
      <w:r>
        <w:rPr>
          <w:rFonts w:hint="default" w:ascii="Times New Roman" w:hAnsi="Times New Roman" w:eastAsia="仿宋_GB2312"/>
          <w:sz w:val="32"/>
          <w:szCs w:val="32"/>
          <w:highlight w:val="none"/>
          <w:lang w:val="en-US" w:eastAsia="zh-CN"/>
        </w:rPr>
        <w:t>住房改革支出</w:t>
      </w:r>
      <w:r>
        <w:rPr>
          <w:rFonts w:hint="eastAsia" w:ascii="Times New Roman" w:hAnsi="Times New Roman" w:eastAsia="仿宋_GB2312"/>
          <w:sz w:val="32"/>
          <w:szCs w:val="32"/>
          <w:highlight w:val="none"/>
          <w:lang w:val="en-US" w:eastAsia="zh-CN"/>
        </w:rPr>
        <w:t>（款）</w:t>
      </w:r>
      <w:r>
        <w:rPr>
          <w:rFonts w:hint="default" w:ascii="Times New Roman" w:hAnsi="Times New Roman" w:eastAsia="仿宋_GB2312"/>
          <w:sz w:val="32"/>
          <w:szCs w:val="32"/>
          <w:highlight w:val="none"/>
          <w:lang w:val="en-US" w:eastAsia="zh-CN"/>
        </w:rPr>
        <w:t>住房公积金</w:t>
      </w:r>
      <w:r>
        <w:rPr>
          <w:rFonts w:hint="eastAsia" w:ascii="Times New Roman" w:hAnsi="Times New Roman" w:eastAsia="仿宋_GB2312"/>
          <w:sz w:val="32"/>
          <w:szCs w:val="32"/>
          <w:highlight w:val="none"/>
          <w:lang w:val="en-US" w:eastAsia="zh-CN"/>
        </w:rPr>
        <w:t>（项）：</w:t>
      </w:r>
      <w:r>
        <w:rPr>
          <w:rFonts w:hint="eastAsia" w:ascii="方正仿宋_GBK" w:hAnsi="方正仿宋_GBK" w:eastAsia="方正仿宋_GBK" w:cs="方正仿宋_GBK"/>
          <w:sz w:val="33"/>
          <w:szCs w:val="33"/>
        </w:rPr>
        <w:t>指按照《住房公积金管理条例》的规定，由单位及其在职职工缴存的长期住房储金。</w:t>
      </w:r>
    </w:p>
    <w:p w14:paraId="34EB8492">
      <w:pPr>
        <w:spacing w:line="600" w:lineRule="exac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w:t>
      </w:r>
      <w:r>
        <w:rPr>
          <w:rFonts w:hint="eastAsia" w:ascii="Times New Roman" w:hAnsi="Times New Roman" w:eastAsia="仿宋_GB2312"/>
          <w:sz w:val="32"/>
          <w:szCs w:val="32"/>
          <w:highlight w:val="none"/>
          <w:lang w:val="en-US" w:eastAsia="zh-CN"/>
        </w:rPr>
        <w:t>26</w:t>
      </w:r>
      <w:r>
        <w:rPr>
          <w:rFonts w:hint="eastAsia" w:ascii="Times New Roman" w:hAnsi="Times New Roman" w:eastAsia="仿宋_GB2312"/>
          <w:sz w:val="32"/>
          <w:szCs w:val="32"/>
          <w:highlight w:val="none"/>
        </w:rPr>
        <w:t>.基本支出：指为保证机构正常运转，完成日常工作任务而发生的人员支出和公用支出。</w:t>
      </w:r>
      <w:r>
        <w:rPr>
          <w:rFonts w:hint="eastAsia" w:ascii="Times New Roman" w:hAnsi="Times New Roman" w:eastAsia="仿宋_GB2312"/>
          <w:sz w:val="32"/>
          <w:szCs w:val="32"/>
          <w:highlight w:val="none"/>
        </w:rPr>
        <w:br w:type="textWrapping"/>
      </w:r>
      <w:r>
        <w:rPr>
          <w:rFonts w:hint="eastAsia" w:ascii="Times New Roman" w:hAnsi="Times New Roman" w:eastAsia="仿宋_GB2312"/>
          <w:sz w:val="32"/>
          <w:szCs w:val="32"/>
          <w:highlight w:val="none"/>
        </w:rPr>
        <w:t>　　</w:t>
      </w:r>
      <w:r>
        <w:rPr>
          <w:rFonts w:hint="eastAsia" w:ascii="Times New Roman" w:hAnsi="Times New Roman" w:eastAsia="仿宋_GB2312"/>
          <w:sz w:val="32"/>
          <w:szCs w:val="32"/>
          <w:highlight w:val="none"/>
          <w:lang w:val="en-US" w:eastAsia="zh-CN"/>
        </w:rPr>
        <w:t>27</w:t>
      </w:r>
      <w:r>
        <w:rPr>
          <w:rFonts w:hint="eastAsia" w:ascii="Times New Roman" w:hAnsi="Times New Roman" w:eastAsia="仿宋_GB2312"/>
          <w:sz w:val="32"/>
          <w:szCs w:val="32"/>
          <w:highlight w:val="none"/>
        </w:rPr>
        <w:t>.项目支出：指在基本支出之外为完成特定行政任务和事业发展目标所发生的支出。</w:t>
      </w:r>
      <w:r>
        <w:rPr>
          <w:rFonts w:hint="eastAsia" w:ascii="Times New Roman" w:hAnsi="Times New Roman" w:eastAsia="仿宋_GB2312"/>
          <w:sz w:val="32"/>
          <w:szCs w:val="32"/>
          <w:highlight w:val="none"/>
        </w:rPr>
        <w:br w:type="textWrapping"/>
      </w:r>
      <w:r>
        <w:rPr>
          <w:rFonts w:hint="eastAsia" w:ascii="Times New Roman" w:hAnsi="Times New Roman" w:eastAsia="仿宋_GB2312"/>
          <w:sz w:val="32"/>
          <w:szCs w:val="32"/>
          <w:highlight w:val="none"/>
        </w:rPr>
        <w:t>　　</w:t>
      </w:r>
      <w:r>
        <w:rPr>
          <w:rFonts w:hint="eastAsia" w:ascii="Times New Roman" w:hAnsi="Times New Roman" w:eastAsia="仿宋_GB2312"/>
          <w:sz w:val="32"/>
          <w:szCs w:val="32"/>
          <w:highlight w:val="none"/>
          <w:lang w:val="en-US" w:eastAsia="zh-CN"/>
        </w:rPr>
        <w:t>28</w:t>
      </w:r>
      <w:r>
        <w:rPr>
          <w:rFonts w:hint="eastAsia" w:ascii="Times New Roman" w:hAnsi="Times New Roman" w:eastAsia="仿宋_GB2312"/>
          <w:sz w:val="32"/>
          <w:szCs w:val="32"/>
          <w:highlight w:val="none"/>
        </w:rPr>
        <w:t>.“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仿宋_GB2312"/>
          <w:sz w:val="32"/>
          <w:szCs w:val="32"/>
          <w:highlight w:val="none"/>
        </w:rPr>
        <w:br w:type="textWrapping"/>
      </w:r>
      <w:r>
        <w:rPr>
          <w:rFonts w:hint="eastAsia" w:ascii="Times New Roman" w:hAnsi="Times New Roman" w:eastAsia="仿宋_GB2312"/>
          <w:sz w:val="32"/>
          <w:szCs w:val="32"/>
          <w:highlight w:val="none"/>
        </w:rPr>
        <w:t>　　</w:t>
      </w:r>
      <w:r>
        <w:rPr>
          <w:rFonts w:hint="eastAsia" w:ascii="Times New Roman" w:hAnsi="Times New Roman" w:eastAsia="仿宋_GB2312"/>
          <w:sz w:val="32"/>
          <w:szCs w:val="32"/>
          <w:highlight w:val="none"/>
          <w:lang w:val="en-US" w:eastAsia="zh-CN"/>
        </w:rPr>
        <w:t>29</w:t>
      </w:r>
      <w:r>
        <w:rPr>
          <w:rFonts w:hint="eastAsia" w:ascii="Times New Roman" w:hAnsi="Times New Roman" w:eastAsia="仿宋_GB2312"/>
          <w:sz w:val="32"/>
          <w:szCs w:val="32"/>
          <w:highlight w:val="none"/>
        </w:rPr>
        <w:t>.机关运行经费：为保障行政单位（包含参照公务员法管理的事业单位）运行用于购买货物和服务的各项资金。包括办公及印刷费、邮电费、差旅费、会议费一般设备购置费等费用开支。</w:t>
      </w:r>
    </w:p>
    <w:p w14:paraId="778BAB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DE955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B4E1B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92374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728CC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FD32A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7A715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76355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787AE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9D02DC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br w:type="page"/>
      </w:r>
    </w:p>
    <w:p w14:paraId="7CE24235">
      <w:pPr>
        <w:pStyle w:val="8"/>
        <w:widowControl/>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ED0CEE5">
      <w:pPr>
        <w:pStyle w:val="8"/>
        <w:widowControl/>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EE70113">
      <w:pPr>
        <w:pStyle w:val="8"/>
        <w:widowControl/>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060E387">
      <w:pPr>
        <w:pStyle w:val="8"/>
        <w:widowControl/>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E543B94">
      <w:pPr>
        <w:pStyle w:val="8"/>
        <w:widowControl/>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0602D34">
      <w:pPr>
        <w:pStyle w:val="8"/>
        <w:widowControl/>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898CC02">
      <w:pPr>
        <w:pStyle w:val="8"/>
        <w:widowControl/>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4E0DE40">
      <w:pPr>
        <w:pStyle w:val="8"/>
        <w:widowControl/>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1005AE3">
      <w:pPr>
        <w:pStyle w:val="8"/>
        <w:widowControl/>
        <w:numPr>
          <w:ilvl w:val="0"/>
          <w:numId w:val="0"/>
        </w:numPr>
        <w:pBdr>
          <w:top w:val="none" w:color="auto" w:sz="0" w:space="0"/>
          <w:left w:val="none" w:color="auto" w:sz="0" w:space="0"/>
          <w:bottom w:val="none" w:color="auto" w:sz="0" w:space="0"/>
          <w:right w:val="none" w:color="auto" w:sz="0" w:space="0"/>
        </w:pBdr>
        <w:shd w:val="clear" w:color="auto" w:fill="auto"/>
        <w:spacing w:line="240" w:lineRule="auto"/>
        <w:ind w:firstLine="0" w:firstLineChars="0"/>
        <w:jc w:val="center"/>
        <w:outlineLvl w:val="0"/>
        <w:rPr>
          <w:rFonts w:hint="eastAsia" w:ascii="Times New Roman" w:hAnsi="Times New Roman" w:eastAsia="楷体" w:cs="Times New Roman"/>
          <w:b/>
          <w:color w:val="FF0000"/>
          <w:sz w:val="32"/>
          <w:szCs w:val="32"/>
          <w:highlight w:val="none"/>
          <w:lang w:eastAsia="zh-CN"/>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第四部分  广安市前锋区观塘镇人民政府2025年部门预算表</w:t>
      </w:r>
    </w:p>
    <w:p w14:paraId="2ACBAF03">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br w:type="page"/>
      </w:r>
    </w:p>
    <w:p w14:paraId="7DBE1C44">
      <w:pPr>
        <w:spacing w:line="600" w:lineRule="exact"/>
        <w:rPr>
          <w:rFonts w:hint="default" w:ascii="Times New Roman" w:hAnsi="Times New Roman" w:eastAsia="仿宋_GB2312" w:cs="Times New Roman"/>
          <w:sz w:val="32"/>
          <w:szCs w:val="32"/>
          <w:highlight w:val="none"/>
        </w:rPr>
      </w:pPr>
    </w:p>
    <w:p w14:paraId="21B962F9">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sz w:val="32"/>
          <w:szCs w:val="32"/>
          <w:highlight w:val="none"/>
        </w:rPr>
        <w:t>表1 部门收支总表</w:t>
      </w:r>
    </w:p>
    <w:p w14:paraId="59232A2F">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14:paraId="25FB94AB">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14:paraId="6E28BECA">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14:paraId="5D8383C2">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14:paraId="0A57FB40">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14:paraId="4B1EF364">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14:paraId="5D439786">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14:paraId="746714A4">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14:paraId="342023AA">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14:paraId="7650B588">
      <w:pPr>
        <w:spacing w:line="600" w:lineRule="exact"/>
        <w:ind w:left="1596" w:leftChars="760" w:firstLine="0"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14:paraId="2ECE4012">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14:paraId="01A40A8B">
      <w:pPr>
        <w:spacing w:line="600" w:lineRule="exact"/>
        <w:ind w:firstLine="1600" w:firstLineChars="5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14:paraId="496B8590">
      <w:pPr>
        <w:spacing w:line="600" w:lineRule="exact"/>
        <w:ind w:firstLine="1600" w:firstLineChars="500"/>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14:paraId="029F0858">
      <w:pPr>
        <w:spacing w:line="600" w:lineRule="exact"/>
        <w:ind w:firstLine="562" w:firstLineChars="200"/>
        <w:rPr>
          <w:rFonts w:hint="default" w:ascii="Times New Roman" w:hAnsi="Times New Roman" w:eastAsia="楷体" w:cs="Times New Roman"/>
          <w:b/>
          <w:color w:val="FF0000"/>
          <w:sz w:val="28"/>
          <w:szCs w:val="32"/>
          <w:highlight w:val="none"/>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2A7EC">
    <w:pPr>
      <w:pStyle w:val="2"/>
    </w:pPr>
  </w:p>
  <w:p w14:paraId="1A06AF3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DA0EA">
    <w:pPr>
      <w:pStyle w:val="2"/>
    </w:pPr>
  </w:p>
  <w:p w14:paraId="56604FA0">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9047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47F7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7147F75">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56D294D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NDNiZWFjYTNiMzJjY2FjZDlhNTYwZmNkMTMyMDAifQ=="/>
  </w:docVars>
  <w:rsids>
    <w:rsidRoot w:val="00E170CA"/>
    <w:rsid w:val="000072F1"/>
    <w:rsid w:val="00076C36"/>
    <w:rsid w:val="00081E5A"/>
    <w:rsid w:val="00085EA3"/>
    <w:rsid w:val="000C5775"/>
    <w:rsid w:val="0012441B"/>
    <w:rsid w:val="00144BB5"/>
    <w:rsid w:val="00191D09"/>
    <w:rsid w:val="00197B77"/>
    <w:rsid w:val="001A64C4"/>
    <w:rsid w:val="001A6DE7"/>
    <w:rsid w:val="001D451F"/>
    <w:rsid w:val="0020334B"/>
    <w:rsid w:val="00216A91"/>
    <w:rsid w:val="002538F6"/>
    <w:rsid w:val="00260ABE"/>
    <w:rsid w:val="00270FD0"/>
    <w:rsid w:val="00276DC1"/>
    <w:rsid w:val="002C33AE"/>
    <w:rsid w:val="002C5303"/>
    <w:rsid w:val="00303F39"/>
    <w:rsid w:val="00322AF0"/>
    <w:rsid w:val="00331237"/>
    <w:rsid w:val="00337AE8"/>
    <w:rsid w:val="0034453B"/>
    <w:rsid w:val="00373878"/>
    <w:rsid w:val="00381239"/>
    <w:rsid w:val="003B5F97"/>
    <w:rsid w:val="003C28DE"/>
    <w:rsid w:val="003F53CB"/>
    <w:rsid w:val="004073D6"/>
    <w:rsid w:val="0045340C"/>
    <w:rsid w:val="00482C46"/>
    <w:rsid w:val="00493DFD"/>
    <w:rsid w:val="004C0647"/>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1374E54"/>
    <w:rsid w:val="01A56261"/>
    <w:rsid w:val="0200793B"/>
    <w:rsid w:val="021A6C4F"/>
    <w:rsid w:val="028B665F"/>
    <w:rsid w:val="02AE55E9"/>
    <w:rsid w:val="031D3DFA"/>
    <w:rsid w:val="039A2A05"/>
    <w:rsid w:val="03B94246"/>
    <w:rsid w:val="03E70DB3"/>
    <w:rsid w:val="045955C4"/>
    <w:rsid w:val="047343F5"/>
    <w:rsid w:val="04AF02D8"/>
    <w:rsid w:val="04BD38C2"/>
    <w:rsid w:val="058D7774"/>
    <w:rsid w:val="05CD222A"/>
    <w:rsid w:val="05CD3FD8"/>
    <w:rsid w:val="060A2D88"/>
    <w:rsid w:val="060D2627"/>
    <w:rsid w:val="060F2843"/>
    <w:rsid w:val="06287461"/>
    <w:rsid w:val="063902B1"/>
    <w:rsid w:val="066D69F9"/>
    <w:rsid w:val="06F85085"/>
    <w:rsid w:val="07416A2C"/>
    <w:rsid w:val="07996868"/>
    <w:rsid w:val="07AF7E3A"/>
    <w:rsid w:val="07CF228A"/>
    <w:rsid w:val="084A5DB4"/>
    <w:rsid w:val="08B770EF"/>
    <w:rsid w:val="08F91B36"/>
    <w:rsid w:val="091F4B4B"/>
    <w:rsid w:val="0998157E"/>
    <w:rsid w:val="09C94AB7"/>
    <w:rsid w:val="09EF30D7"/>
    <w:rsid w:val="0A0C3321"/>
    <w:rsid w:val="0A3D797F"/>
    <w:rsid w:val="0A6D18E6"/>
    <w:rsid w:val="0A7315F2"/>
    <w:rsid w:val="0AA6399E"/>
    <w:rsid w:val="0AB3379D"/>
    <w:rsid w:val="0AED7E23"/>
    <w:rsid w:val="0BB53545"/>
    <w:rsid w:val="0BDE3468"/>
    <w:rsid w:val="0C236700"/>
    <w:rsid w:val="0C831895"/>
    <w:rsid w:val="0CF52B02"/>
    <w:rsid w:val="0D3861DB"/>
    <w:rsid w:val="0D90146F"/>
    <w:rsid w:val="0E19425F"/>
    <w:rsid w:val="0E3E5A73"/>
    <w:rsid w:val="0E9438E5"/>
    <w:rsid w:val="0EA87391"/>
    <w:rsid w:val="0F144A26"/>
    <w:rsid w:val="0F6634D4"/>
    <w:rsid w:val="0FD348E1"/>
    <w:rsid w:val="0FE10DAC"/>
    <w:rsid w:val="104135F9"/>
    <w:rsid w:val="108A1444"/>
    <w:rsid w:val="1092654A"/>
    <w:rsid w:val="10D426BF"/>
    <w:rsid w:val="10E2678A"/>
    <w:rsid w:val="1111759E"/>
    <w:rsid w:val="111B02EE"/>
    <w:rsid w:val="112E0021"/>
    <w:rsid w:val="1232769D"/>
    <w:rsid w:val="125C342F"/>
    <w:rsid w:val="128F4AEF"/>
    <w:rsid w:val="12A8795F"/>
    <w:rsid w:val="12FD414F"/>
    <w:rsid w:val="1319260B"/>
    <w:rsid w:val="13785584"/>
    <w:rsid w:val="13904FC3"/>
    <w:rsid w:val="13C20EF5"/>
    <w:rsid w:val="1461070D"/>
    <w:rsid w:val="14920FCD"/>
    <w:rsid w:val="14A8633C"/>
    <w:rsid w:val="14DB04C0"/>
    <w:rsid w:val="14DC5FE6"/>
    <w:rsid w:val="14F52C04"/>
    <w:rsid w:val="15121A08"/>
    <w:rsid w:val="158C17BA"/>
    <w:rsid w:val="1593241F"/>
    <w:rsid w:val="15A22071"/>
    <w:rsid w:val="15B92DAE"/>
    <w:rsid w:val="15FFCE06"/>
    <w:rsid w:val="16500A3A"/>
    <w:rsid w:val="16CB43FA"/>
    <w:rsid w:val="16F17A35"/>
    <w:rsid w:val="16FA2753"/>
    <w:rsid w:val="171750B3"/>
    <w:rsid w:val="176EB2CA"/>
    <w:rsid w:val="176F4EEF"/>
    <w:rsid w:val="1776673F"/>
    <w:rsid w:val="178A3AD7"/>
    <w:rsid w:val="17B323E2"/>
    <w:rsid w:val="17CE1FFC"/>
    <w:rsid w:val="18090EA0"/>
    <w:rsid w:val="182D177E"/>
    <w:rsid w:val="187E6D2A"/>
    <w:rsid w:val="18D23988"/>
    <w:rsid w:val="18DC4807"/>
    <w:rsid w:val="19053D5D"/>
    <w:rsid w:val="19766899"/>
    <w:rsid w:val="19E80F89"/>
    <w:rsid w:val="1A143B2C"/>
    <w:rsid w:val="1A226249"/>
    <w:rsid w:val="1A4B0F97"/>
    <w:rsid w:val="1A5555DB"/>
    <w:rsid w:val="1AA650CC"/>
    <w:rsid w:val="1AB05F4B"/>
    <w:rsid w:val="1AF220BF"/>
    <w:rsid w:val="1B1262BE"/>
    <w:rsid w:val="1B757B15"/>
    <w:rsid w:val="1BF400B9"/>
    <w:rsid w:val="1BFB4FA4"/>
    <w:rsid w:val="1BFD51C0"/>
    <w:rsid w:val="1C2234C9"/>
    <w:rsid w:val="1CE123EB"/>
    <w:rsid w:val="1CEF11B4"/>
    <w:rsid w:val="1D183933"/>
    <w:rsid w:val="1D1D164B"/>
    <w:rsid w:val="1D613B2B"/>
    <w:rsid w:val="1DD71A40"/>
    <w:rsid w:val="1DE9F11D"/>
    <w:rsid w:val="1DFD14A7"/>
    <w:rsid w:val="1DFEF48B"/>
    <w:rsid w:val="1E5E9CAC"/>
    <w:rsid w:val="1E9519CF"/>
    <w:rsid w:val="1E9B481C"/>
    <w:rsid w:val="1E9F4C3A"/>
    <w:rsid w:val="1EDF295B"/>
    <w:rsid w:val="1EE241F9"/>
    <w:rsid w:val="1F3F164B"/>
    <w:rsid w:val="1FE10954"/>
    <w:rsid w:val="1FFED141"/>
    <w:rsid w:val="202F7912"/>
    <w:rsid w:val="20384A18"/>
    <w:rsid w:val="20623843"/>
    <w:rsid w:val="207D067D"/>
    <w:rsid w:val="208F03B0"/>
    <w:rsid w:val="20C9064B"/>
    <w:rsid w:val="20FE5916"/>
    <w:rsid w:val="211D59BC"/>
    <w:rsid w:val="21415B4F"/>
    <w:rsid w:val="21581B7A"/>
    <w:rsid w:val="217D645B"/>
    <w:rsid w:val="21D33428"/>
    <w:rsid w:val="2209080D"/>
    <w:rsid w:val="22513B6F"/>
    <w:rsid w:val="228D26CE"/>
    <w:rsid w:val="22BE77EB"/>
    <w:rsid w:val="22CE2367"/>
    <w:rsid w:val="232A6D75"/>
    <w:rsid w:val="232B0864"/>
    <w:rsid w:val="23803108"/>
    <w:rsid w:val="23841D23"/>
    <w:rsid w:val="23DD2C8B"/>
    <w:rsid w:val="243F5C4A"/>
    <w:rsid w:val="247E2C16"/>
    <w:rsid w:val="24A26904"/>
    <w:rsid w:val="25331C52"/>
    <w:rsid w:val="25565941"/>
    <w:rsid w:val="2563236B"/>
    <w:rsid w:val="259A3A7F"/>
    <w:rsid w:val="25BC39F6"/>
    <w:rsid w:val="25BF7042"/>
    <w:rsid w:val="26103D41"/>
    <w:rsid w:val="26467763"/>
    <w:rsid w:val="266D2F42"/>
    <w:rsid w:val="268C786C"/>
    <w:rsid w:val="26B54220"/>
    <w:rsid w:val="26BC16AB"/>
    <w:rsid w:val="26F56419"/>
    <w:rsid w:val="273D2914"/>
    <w:rsid w:val="27624129"/>
    <w:rsid w:val="276500BD"/>
    <w:rsid w:val="27716A62"/>
    <w:rsid w:val="27906EE8"/>
    <w:rsid w:val="280653FC"/>
    <w:rsid w:val="280671AA"/>
    <w:rsid w:val="282B09BF"/>
    <w:rsid w:val="282C20C3"/>
    <w:rsid w:val="28920A3E"/>
    <w:rsid w:val="289C366A"/>
    <w:rsid w:val="28F434A6"/>
    <w:rsid w:val="28FE4325"/>
    <w:rsid w:val="29233D8C"/>
    <w:rsid w:val="29565F0F"/>
    <w:rsid w:val="2987431B"/>
    <w:rsid w:val="29B03871"/>
    <w:rsid w:val="29B35110"/>
    <w:rsid w:val="29E9635E"/>
    <w:rsid w:val="29EE7EF6"/>
    <w:rsid w:val="2A4B17EC"/>
    <w:rsid w:val="2A5E32CD"/>
    <w:rsid w:val="2A6D3510"/>
    <w:rsid w:val="2A7A17DF"/>
    <w:rsid w:val="2AD57308"/>
    <w:rsid w:val="2ADE61BC"/>
    <w:rsid w:val="2AFA28CA"/>
    <w:rsid w:val="2B4812B0"/>
    <w:rsid w:val="2B8B45FB"/>
    <w:rsid w:val="2BBB64FD"/>
    <w:rsid w:val="2BF6B04D"/>
    <w:rsid w:val="2BFB2D9E"/>
    <w:rsid w:val="2C736DD8"/>
    <w:rsid w:val="2C982CCB"/>
    <w:rsid w:val="2CE35D0C"/>
    <w:rsid w:val="2CE37ABA"/>
    <w:rsid w:val="2D313E76"/>
    <w:rsid w:val="2DDD6BFF"/>
    <w:rsid w:val="2DF950BB"/>
    <w:rsid w:val="2E3F51C4"/>
    <w:rsid w:val="2E6E5AA9"/>
    <w:rsid w:val="2EF30624"/>
    <w:rsid w:val="2F08568C"/>
    <w:rsid w:val="2F0B686E"/>
    <w:rsid w:val="2F1578D0"/>
    <w:rsid w:val="2F7C0313"/>
    <w:rsid w:val="2F860BD0"/>
    <w:rsid w:val="2FAA48BF"/>
    <w:rsid w:val="2FE72238"/>
    <w:rsid w:val="2FE853E7"/>
    <w:rsid w:val="2FFD0E93"/>
    <w:rsid w:val="30040748"/>
    <w:rsid w:val="30274F30"/>
    <w:rsid w:val="302A5A00"/>
    <w:rsid w:val="303D1BD7"/>
    <w:rsid w:val="303D5733"/>
    <w:rsid w:val="30681C60"/>
    <w:rsid w:val="309A4933"/>
    <w:rsid w:val="30BC5968"/>
    <w:rsid w:val="31501BFE"/>
    <w:rsid w:val="317B29B7"/>
    <w:rsid w:val="319F5F79"/>
    <w:rsid w:val="31B9703B"/>
    <w:rsid w:val="31CA56EC"/>
    <w:rsid w:val="31D4579A"/>
    <w:rsid w:val="31E7004C"/>
    <w:rsid w:val="326C2300"/>
    <w:rsid w:val="32911D66"/>
    <w:rsid w:val="32B51EF8"/>
    <w:rsid w:val="32C043F9"/>
    <w:rsid w:val="32D63C1D"/>
    <w:rsid w:val="32DC56D7"/>
    <w:rsid w:val="32EE71B8"/>
    <w:rsid w:val="33245A76"/>
    <w:rsid w:val="334D721F"/>
    <w:rsid w:val="33557238"/>
    <w:rsid w:val="340C3D9A"/>
    <w:rsid w:val="34256C0A"/>
    <w:rsid w:val="34474DD2"/>
    <w:rsid w:val="3472686B"/>
    <w:rsid w:val="34A57D4B"/>
    <w:rsid w:val="357339A5"/>
    <w:rsid w:val="35AE701E"/>
    <w:rsid w:val="35BA001C"/>
    <w:rsid w:val="35CC3C87"/>
    <w:rsid w:val="35D703D8"/>
    <w:rsid w:val="365E5CD9"/>
    <w:rsid w:val="366A7D01"/>
    <w:rsid w:val="366D5A9F"/>
    <w:rsid w:val="36CD549D"/>
    <w:rsid w:val="36D52B69"/>
    <w:rsid w:val="36DD1A1E"/>
    <w:rsid w:val="36DE18E7"/>
    <w:rsid w:val="37405B09"/>
    <w:rsid w:val="374A3781"/>
    <w:rsid w:val="37626128"/>
    <w:rsid w:val="37752F0F"/>
    <w:rsid w:val="37983B97"/>
    <w:rsid w:val="37C93D50"/>
    <w:rsid w:val="37DB54BF"/>
    <w:rsid w:val="38471845"/>
    <w:rsid w:val="38563836"/>
    <w:rsid w:val="390E4110"/>
    <w:rsid w:val="391E1E7A"/>
    <w:rsid w:val="39355B41"/>
    <w:rsid w:val="39602492"/>
    <w:rsid w:val="39772447"/>
    <w:rsid w:val="399565E0"/>
    <w:rsid w:val="3A011A33"/>
    <w:rsid w:val="3A230C04"/>
    <w:rsid w:val="3A5A5133"/>
    <w:rsid w:val="3A9F7E02"/>
    <w:rsid w:val="3AC819B4"/>
    <w:rsid w:val="3ADC3D9A"/>
    <w:rsid w:val="3B101CF1"/>
    <w:rsid w:val="3B194FEF"/>
    <w:rsid w:val="3B331C0C"/>
    <w:rsid w:val="3B455DE4"/>
    <w:rsid w:val="3BB24C42"/>
    <w:rsid w:val="3BE850ED"/>
    <w:rsid w:val="3BF7822D"/>
    <w:rsid w:val="3C027831"/>
    <w:rsid w:val="3C502C92"/>
    <w:rsid w:val="3C96469A"/>
    <w:rsid w:val="3CC571DC"/>
    <w:rsid w:val="3CDE204C"/>
    <w:rsid w:val="3D235CB1"/>
    <w:rsid w:val="3D7A7FC6"/>
    <w:rsid w:val="3DA9265A"/>
    <w:rsid w:val="3DB129F4"/>
    <w:rsid w:val="3DB159B2"/>
    <w:rsid w:val="3DC92CFC"/>
    <w:rsid w:val="3DD40A79"/>
    <w:rsid w:val="3E52102B"/>
    <w:rsid w:val="3E7277C4"/>
    <w:rsid w:val="3E8E35FE"/>
    <w:rsid w:val="3ECB2752"/>
    <w:rsid w:val="3ED454B4"/>
    <w:rsid w:val="3EF3FC2D"/>
    <w:rsid w:val="3F23643C"/>
    <w:rsid w:val="3F2A0683"/>
    <w:rsid w:val="3F326E12"/>
    <w:rsid w:val="3F4E83B9"/>
    <w:rsid w:val="3F762A0F"/>
    <w:rsid w:val="3F791594"/>
    <w:rsid w:val="3F7F3D35"/>
    <w:rsid w:val="3F8443B3"/>
    <w:rsid w:val="3FEF825B"/>
    <w:rsid w:val="40972C3D"/>
    <w:rsid w:val="41233E23"/>
    <w:rsid w:val="413B181B"/>
    <w:rsid w:val="41662610"/>
    <w:rsid w:val="41D13F2D"/>
    <w:rsid w:val="41E33C60"/>
    <w:rsid w:val="422E7B70"/>
    <w:rsid w:val="429338D8"/>
    <w:rsid w:val="42A72EE0"/>
    <w:rsid w:val="42CA6BDC"/>
    <w:rsid w:val="42DE2DA6"/>
    <w:rsid w:val="43670FED"/>
    <w:rsid w:val="43F9776B"/>
    <w:rsid w:val="44330ECF"/>
    <w:rsid w:val="44970F9A"/>
    <w:rsid w:val="45FD1795"/>
    <w:rsid w:val="45FD8A71"/>
    <w:rsid w:val="461E795D"/>
    <w:rsid w:val="461F5BAF"/>
    <w:rsid w:val="46274A64"/>
    <w:rsid w:val="464C1C7E"/>
    <w:rsid w:val="466730B2"/>
    <w:rsid w:val="4674757D"/>
    <w:rsid w:val="46AE06FB"/>
    <w:rsid w:val="46EE5581"/>
    <w:rsid w:val="4792415F"/>
    <w:rsid w:val="47AF6ABF"/>
    <w:rsid w:val="47E1511C"/>
    <w:rsid w:val="485D476D"/>
    <w:rsid w:val="489A151D"/>
    <w:rsid w:val="48B002C0"/>
    <w:rsid w:val="48B56357"/>
    <w:rsid w:val="48FF203E"/>
    <w:rsid w:val="493A2D00"/>
    <w:rsid w:val="49521DF7"/>
    <w:rsid w:val="4968134D"/>
    <w:rsid w:val="49A83C08"/>
    <w:rsid w:val="49AE2DA6"/>
    <w:rsid w:val="49DF8F8D"/>
    <w:rsid w:val="4A0F7CE8"/>
    <w:rsid w:val="4A1470AD"/>
    <w:rsid w:val="4A301A0D"/>
    <w:rsid w:val="4AF0001F"/>
    <w:rsid w:val="4AFF2534"/>
    <w:rsid w:val="4B3630CF"/>
    <w:rsid w:val="4B7C315C"/>
    <w:rsid w:val="4B7E5126"/>
    <w:rsid w:val="4B8244EA"/>
    <w:rsid w:val="4BBF3760"/>
    <w:rsid w:val="4BF947AC"/>
    <w:rsid w:val="4BF97353"/>
    <w:rsid w:val="4C0D0258"/>
    <w:rsid w:val="4C3D6D8F"/>
    <w:rsid w:val="4C7327B1"/>
    <w:rsid w:val="4C8C44C2"/>
    <w:rsid w:val="4CA50490"/>
    <w:rsid w:val="4CAA5AA7"/>
    <w:rsid w:val="4CF3744D"/>
    <w:rsid w:val="4D0C050F"/>
    <w:rsid w:val="4D27744D"/>
    <w:rsid w:val="4D3B3EE5"/>
    <w:rsid w:val="4D4952BF"/>
    <w:rsid w:val="4D4F165D"/>
    <w:rsid w:val="4D5D5930"/>
    <w:rsid w:val="4D6245D3"/>
    <w:rsid w:val="4D782049"/>
    <w:rsid w:val="4DA071B1"/>
    <w:rsid w:val="4DC25072"/>
    <w:rsid w:val="4DE66FB2"/>
    <w:rsid w:val="4E000C88"/>
    <w:rsid w:val="4E0D7D3F"/>
    <w:rsid w:val="4E294037"/>
    <w:rsid w:val="4E610F96"/>
    <w:rsid w:val="4E8A5B90"/>
    <w:rsid w:val="4F075432"/>
    <w:rsid w:val="4F37A3C3"/>
    <w:rsid w:val="4F512B51"/>
    <w:rsid w:val="4FE47521"/>
    <w:rsid w:val="515E65DD"/>
    <w:rsid w:val="51656440"/>
    <w:rsid w:val="520926F2"/>
    <w:rsid w:val="529F5982"/>
    <w:rsid w:val="52A86F2C"/>
    <w:rsid w:val="52C8312A"/>
    <w:rsid w:val="53195734"/>
    <w:rsid w:val="53234805"/>
    <w:rsid w:val="53285977"/>
    <w:rsid w:val="534D53DE"/>
    <w:rsid w:val="53762D33"/>
    <w:rsid w:val="539179C0"/>
    <w:rsid w:val="53BF452D"/>
    <w:rsid w:val="53C658BC"/>
    <w:rsid w:val="53DFDA61"/>
    <w:rsid w:val="53E75832"/>
    <w:rsid w:val="54A159E1"/>
    <w:rsid w:val="54A61485"/>
    <w:rsid w:val="54F71AA5"/>
    <w:rsid w:val="55197C6D"/>
    <w:rsid w:val="55546EF7"/>
    <w:rsid w:val="5563713A"/>
    <w:rsid w:val="55C7591B"/>
    <w:rsid w:val="56075D18"/>
    <w:rsid w:val="56ED7603"/>
    <w:rsid w:val="56F30371"/>
    <w:rsid w:val="573B036F"/>
    <w:rsid w:val="5744444C"/>
    <w:rsid w:val="57880B32"/>
    <w:rsid w:val="57AC4DC9"/>
    <w:rsid w:val="57D6273D"/>
    <w:rsid w:val="57F7A238"/>
    <w:rsid w:val="57FB365A"/>
    <w:rsid w:val="57FFFCA8"/>
    <w:rsid w:val="582D36DC"/>
    <w:rsid w:val="585C2F78"/>
    <w:rsid w:val="58B33F35"/>
    <w:rsid w:val="58FF5577"/>
    <w:rsid w:val="59296D9D"/>
    <w:rsid w:val="592B410E"/>
    <w:rsid w:val="59417793"/>
    <w:rsid w:val="59494868"/>
    <w:rsid w:val="5A1F7AD4"/>
    <w:rsid w:val="5ABFA6AD"/>
    <w:rsid w:val="5AC8016B"/>
    <w:rsid w:val="5ADB56C9"/>
    <w:rsid w:val="5ADF54B5"/>
    <w:rsid w:val="5AFC6067"/>
    <w:rsid w:val="5B022F52"/>
    <w:rsid w:val="5B70435F"/>
    <w:rsid w:val="5BD6492A"/>
    <w:rsid w:val="5C11169E"/>
    <w:rsid w:val="5C5A1297"/>
    <w:rsid w:val="5C7A36E7"/>
    <w:rsid w:val="5C8E2CEF"/>
    <w:rsid w:val="5CB7BA99"/>
    <w:rsid w:val="5CEB266B"/>
    <w:rsid w:val="5CFE9876"/>
    <w:rsid w:val="5D211DB5"/>
    <w:rsid w:val="5D3C274B"/>
    <w:rsid w:val="5D95E3D3"/>
    <w:rsid w:val="5DCC45B7"/>
    <w:rsid w:val="5DDE8EDA"/>
    <w:rsid w:val="5DFE7261"/>
    <w:rsid w:val="5E653F23"/>
    <w:rsid w:val="5EB623FC"/>
    <w:rsid w:val="5ECA3570"/>
    <w:rsid w:val="5F2F86E9"/>
    <w:rsid w:val="5F4456DD"/>
    <w:rsid w:val="5FAD7930"/>
    <w:rsid w:val="5FB55763"/>
    <w:rsid w:val="5FE243CB"/>
    <w:rsid w:val="5FE7E072"/>
    <w:rsid w:val="5FFC71C1"/>
    <w:rsid w:val="5FFF199C"/>
    <w:rsid w:val="60347847"/>
    <w:rsid w:val="604E1113"/>
    <w:rsid w:val="605D1356"/>
    <w:rsid w:val="60FF6494"/>
    <w:rsid w:val="611834CF"/>
    <w:rsid w:val="61416B7D"/>
    <w:rsid w:val="624D53FA"/>
    <w:rsid w:val="62720558"/>
    <w:rsid w:val="628D3A49"/>
    <w:rsid w:val="62DE42A4"/>
    <w:rsid w:val="62EA2C49"/>
    <w:rsid w:val="636522D0"/>
    <w:rsid w:val="637349EC"/>
    <w:rsid w:val="63CE4319"/>
    <w:rsid w:val="63F26259"/>
    <w:rsid w:val="63F79408"/>
    <w:rsid w:val="63FBFE1C"/>
    <w:rsid w:val="641A130C"/>
    <w:rsid w:val="647B5065"/>
    <w:rsid w:val="649C29A2"/>
    <w:rsid w:val="64CD4AF5"/>
    <w:rsid w:val="64D916AD"/>
    <w:rsid w:val="650A75D2"/>
    <w:rsid w:val="653308D7"/>
    <w:rsid w:val="6535464F"/>
    <w:rsid w:val="654008C9"/>
    <w:rsid w:val="657C227E"/>
    <w:rsid w:val="65EB4985"/>
    <w:rsid w:val="660404C6"/>
    <w:rsid w:val="6609788A"/>
    <w:rsid w:val="66967370"/>
    <w:rsid w:val="66E20F29"/>
    <w:rsid w:val="66EA76BB"/>
    <w:rsid w:val="66FD059E"/>
    <w:rsid w:val="67483951"/>
    <w:rsid w:val="675B4115"/>
    <w:rsid w:val="677B0314"/>
    <w:rsid w:val="67843A07"/>
    <w:rsid w:val="67A205C4"/>
    <w:rsid w:val="67DB7004"/>
    <w:rsid w:val="67F65CF0"/>
    <w:rsid w:val="681C5653"/>
    <w:rsid w:val="68F2509D"/>
    <w:rsid w:val="69054339"/>
    <w:rsid w:val="69362744"/>
    <w:rsid w:val="695B21AB"/>
    <w:rsid w:val="698F00A6"/>
    <w:rsid w:val="69BF6BDD"/>
    <w:rsid w:val="69F24BF3"/>
    <w:rsid w:val="69FD7706"/>
    <w:rsid w:val="6A1A02B8"/>
    <w:rsid w:val="6B413622"/>
    <w:rsid w:val="6B8148C3"/>
    <w:rsid w:val="6B8F438D"/>
    <w:rsid w:val="6B903420"/>
    <w:rsid w:val="6BA442DD"/>
    <w:rsid w:val="6BAA566B"/>
    <w:rsid w:val="6BAC710D"/>
    <w:rsid w:val="6BAF67DE"/>
    <w:rsid w:val="6BEEE90C"/>
    <w:rsid w:val="6C4038DA"/>
    <w:rsid w:val="6CBF6EF4"/>
    <w:rsid w:val="6CCE7137"/>
    <w:rsid w:val="6CDC3602"/>
    <w:rsid w:val="6CE60925"/>
    <w:rsid w:val="6CEF2D33"/>
    <w:rsid w:val="6CFE95BA"/>
    <w:rsid w:val="6D82064E"/>
    <w:rsid w:val="6D8A566B"/>
    <w:rsid w:val="6DD023D3"/>
    <w:rsid w:val="6DD7B53C"/>
    <w:rsid w:val="6DDB7D5E"/>
    <w:rsid w:val="6DDF82BB"/>
    <w:rsid w:val="6DFF04EB"/>
    <w:rsid w:val="6E0948CB"/>
    <w:rsid w:val="6E276AFF"/>
    <w:rsid w:val="6E657E50"/>
    <w:rsid w:val="6E753D0F"/>
    <w:rsid w:val="6EFAA790"/>
    <w:rsid w:val="6EFD8677"/>
    <w:rsid w:val="6F225B39"/>
    <w:rsid w:val="6F377216"/>
    <w:rsid w:val="6F3B0F61"/>
    <w:rsid w:val="6F4D6A39"/>
    <w:rsid w:val="6F7C10CD"/>
    <w:rsid w:val="6F9BB48F"/>
    <w:rsid w:val="6FA10B33"/>
    <w:rsid w:val="6FA36659"/>
    <w:rsid w:val="6FA81EC2"/>
    <w:rsid w:val="6FAFCD21"/>
    <w:rsid w:val="6FB95E7D"/>
    <w:rsid w:val="6FD21C5C"/>
    <w:rsid w:val="6FFDBC71"/>
    <w:rsid w:val="6FFF42B9"/>
    <w:rsid w:val="70115BD2"/>
    <w:rsid w:val="701E3F32"/>
    <w:rsid w:val="706E4EB9"/>
    <w:rsid w:val="706F7341"/>
    <w:rsid w:val="71014517"/>
    <w:rsid w:val="71015B07"/>
    <w:rsid w:val="7104581E"/>
    <w:rsid w:val="710C022E"/>
    <w:rsid w:val="71461992"/>
    <w:rsid w:val="7186766A"/>
    <w:rsid w:val="71902C0D"/>
    <w:rsid w:val="71C64881"/>
    <w:rsid w:val="722C6DDA"/>
    <w:rsid w:val="72361A07"/>
    <w:rsid w:val="723D4B43"/>
    <w:rsid w:val="72472D8F"/>
    <w:rsid w:val="7294672D"/>
    <w:rsid w:val="72E129D7"/>
    <w:rsid w:val="72E476B5"/>
    <w:rsid w:val="73465C7A"/>
    <w:rsid w:val="734C0DB6"/>
    <w:rsid w:val="734D5B1A"/>
    <w:rsid w:val="7352461E"/>
    <w:rsid w:val="736E51D0"/>
    <w:rsid w:val="7375DF5E"/>
    <w:rsid w:val="739FA989"/>
    <w:rsid w:val="73B01345"/>
    <w:rsid w:val="73D615D4"/>
    <w:rsid w:val="73F531FC"/>
    <w:rsid w:val="74F23FD9"/>
    <w:rsid w:val="74F32E9A"/>
    <w:rsid w:val="757E5B9F"/>
    <w:rsid w:val="758E26A4"/>
    <w:rsid w:val="75E1272F"/>
    <w:rsid w:val="75E672A0"/>
    <w:rsid w:val="7662101C"/>
    <w:rsid w:val="76A87DAF"/>
    <w:rsid w:val="76C375E1"/>
    <w:rsid w:val="76C770D1"/>
    <w:rsid w:val="76FF686B"/>
    <w:rsid w:val="77471FC0"/>
    <w:rsid w:val="775F5835"/>
    <w:rsid w:val="777D2AE5"/>
    <w:rsid w:val="777FD03C"/>
    <w:rsid w:val="77E141C3"/>
    <w:rsid w:val="78126A72"/>
    <w:rsid w:val="78252301"/>
    <w:rsid w:val="78BB4A14"/>
    <w:rsid w:val="78FF0635"/>
    <w:rsid w:val="79537342"/>
    <w:rsid w:val="79D7B71B"/>
    <w:rsid w:val="7A13262E"/>
    <w:rsid w:val="7A3C4C4A"/>
    <w:rsid w:val="7A51660F"/>
    <w:rsid w:val="7A6A79EF"/>
    <w:rsid w:val="7A7D1150"/>
    <w:rsid w:val="7ABE2599"/>
    <w:rsid w:val="7B2F16E9"/>
    <w:rsid w:val="7B5F3D7C"/>
    <w:rsid w:val="7B6D8555"/>
    <w:rsid w:val="7BB5BB3B"/>
    <w:rsid w:val="7BBA5457"/>
    <w:rsid w:val="7BBD26E8"/>
    <w:rsid w:val="7BE694FB"/>
    <w:rsid w:val="7BEE3A28"/>
    <w:rsid w:val="7BFAD181"/>
    <w:rsid w:val="7BFF63B1"/>
    <w:rsid w:val="7C1B5DB6"/>
    <w:rsid w:val="7C466CEA"/>
    <w:rsid w:val="7C672EE5"/>
    <w:rsid w:val="7C701FB9"/>
    <w:rsid w:val="7C7B391B"/>
    <w:rsid w:val="7C7F3FAA"/>
    <w:rsid w:val="7CF44998"/>
    <w:rsid w:val="7CF95B0B"/>
    <w:rsid w:val="7D146DE8"/>
    <w:rsid w:val="7D49654D"/>
    <w:rsid w:val="7D7E018B"/>
    <w:rsid w:val="7DA939D5"/>
    <w:rsid w:val="7DB55ED6"/>
    <w:rsid w:val="7DBE4F88"/>
    <w:rsid w:val="7DBF609B"/>
    <w:rsid w:val="7DD9A961"/>
    <w:rsid w:val="7DDF1AF8"/>
    <w:rsid w:val="7DFB24B8"/>
    <w:rsid w:val="7DFEAF7B"/>
    <w:rsid w:val="7E3A287F"/>
    <w:rsid w:val="7E3E0B3C"/>
    <w:rsid w:val="7E3E236F"/>
    <w:rsid w:val="7E4F632A"/>
    <w:rsid w:val="7E663674"/>
    <w:rsid w:val="7E694F12"/>
    <w:rsid w:val="7EBFB26A"/>
    <w:rsid w:val="7EDF60AD"/>
    <w:rsid w:val="7EE97B2D"/>
    <w:rsid w:val="7EEB8A86"/>
    <w:rsid w:val="7EEF472E"/>
    <w:rsid w:val="7EFFCC16"/>
    <w:rsid w:val="7F1B4D03"/>
    <w:rsid w:val="7F1B7FBA"/>
    <w:rsid w:val="7F3A4C55"/>
    <w:rsid w:val="7F545C52"/>
    <w:rsid w:val="7F62208D"/>
    <w:rsid w:val="7F6708EE"/>
    <w:rsid w:val="7F704BF5"/>
    <w:rsid w:val="7F7F8A8C"/>
    <w:rsid w:val="7F9EA7B0"/>
    <w:rsid w:val="7FB7C30D"/>
    <w:rsid w:val="7FBA858F"/>
    <w:rsid w:val="7FBB9175"/>
    <w:rsid w:val="7FCD2D4D"/>
    <w:rsid w:val="7FCFCCF7"/>
    <w:rsid w:val="7FD5EA5C"/>
    <w:rsid w:val="7FE47013"/>
    <w:rsid w:val="7FE71B81"/>
    <w:rsid w:val="7FE76E58"/>
    <w:rsid w:val="7FEDAAE4"/>
    <w:rsid w:val="7FEF4D08"/>
    <w:rsid w:val="7FFD5912"/>
    <w:rsid w:val="7FFF7CAA"/>
    <w:rsid w:val="7FFF95F4"/>
    <w:rsid w:val="97EF746C"/>
    <w:rsid w:val="9B6C4189"/>
    <w:rsid w:val="9B83DEA0"/>
    <w:rsid w:val="9D570E8E"/>
    <w:rsid w:val="9EBC40FA"/>
    <w:rsid w:val="9EFF4C41"/>
    <w:rsid w:val="9FFB95B8"/>
    <w:rsid w:val="A7F82082"/>
    <w:rsid w:val="A7FF7118"/>
    <w:rsid w:val="ABE6F352"/>
    <w:rsid w:val="AFFFE2DF"/>
    <w:rsid w:val="B3EF7825"/>
    <w:rsid w:val="B5BF2B77"/>
    <w:rsid w:val="B7DF1B8A"/>
    <w:rsid w:val="B7EA318C"/>
    <w:rsid w:val="B7EEDD60"/>
    <w:rsid w:val="BADDA352"/>
    <w:rsid w:val="BBEDFEE5"/>
    <w:rsid w:val="BBFF808A"/>
    <w:rsid w:val="BE697736"/>
    <w:rsid w:val="BEE35A71"/>
    <w:rsid w:val="BFCD2B58"/>
    <w:rsid w:val="BFDED32C"/>
    <w:rsid w:val="BFDF7383"/>
    <w:rsid w:val="BFFD155C"/>
    <w:rsid w:val="CB7B5CA3"/>
    <w:rsid w:val="CEF709A2"/>
    <w:rsid w:val="CFE59F0B"/>
    <w:rsid w:val="D3EA7009"/>
    <w:rsid w:val="D4FD4202"/>
    <w:rsid w:val="D72DFD28"/>
    <w:rsid w:val="D72F0654"/>
    <w:rsid w:val="D9FFED28"/>
    <w:rsid w:val="DB5863D9"/>
    <w:rsid w:val="DB73C688"/>
    <w:rsid w:val="DD67A53A"/>
    <w:rsid w:val="DDFB0729"/>
    <w:rsid w:val="DDFEF735"/>
    <w:rsid w:val="DE3E9CBE"/>
    <w:rsid w:val="DED669A1"/>
    <w:rsid w:val="DF3D929A"/>
    <w:rsid w:val="DF562D51"/>
    <w:rsid w:val="DF7FE03E"/>
    <w:rsid w:val="DFAF8B50"/>
    <w:rsid w:val="DFBF955F"/>
    <w:rsid w:val="DFDF164A"/>
    <w:rsid w:val="DFF30D5D"/>
    <w:rsid w:val="E7FD923B"/>
    <w:rsid w:val="E8F366F9"/>
    <w:rsid w:val="EAFFE1CE"/>
    <w:rsid w:val="EBDF69BD"/>
    <w:rsid w:val="ECF74D3C"/>
    <w:rsid w:val="EDFFE3B6"/>
    <w:rsid w:val="EEC72D3D"/>
    <w:rsid w:val="EECB4A9B"/>
    <w:rsid w:val="EF7F1E0D"/>
    <w:rsid w:val="EFF9A1F4"/>
    <w:rsid w:val="F36DBE3E"/>
    <w:rsid w:val="F3DBE64C"/>
    <w:rsid w:val="F5DD9CA7"/>
    <w:rsid w:val="F6DD208B"/>
    <w:rsid w:val="F7BFCCB3"/>
    <w:rsid w:val="F7D7476D"/>
    <w:rsid w:val="F7F7C63C"/>
    <w:rsid w:val="F7FB9D0A"/>
    <w:rsid w:val="F9F9D835"/>
    <w:rsid w:val="FA7F3EDC"/>
    <w:rsid w:val="FA8E0CE9"/>
    <w:rsid w:val="FABD7DDD"/>
    <w:rsid w:val="FB9FA703"/>
    <w:rsid w:val="FBADDBD9"/>
    <w:rsid w:val="FBDF7B5F"/>
    <w:rsid w:val="FBE72CAC"/>
    <w:rsid w:val="FBFE1F58"/>
    <w:rsid w:val="FCEEAECE"/>
    <w:rsid w:val="FCF9317D"/>
    <w:rsid w:val="FDCE7B3F"/>
    <w:rsid w:val="FDDF11B6"/>
    <w:rsid w:val="FDFF94D0"/>
    <w:rsid w:val="FE4349AE"/>
    <w:rsid w:val="FE7B838E"/>
    <w:rsid w:val="FEDD6C12"/>
    <w:rsid w:val="FEDEE4C4"/>
    <w:rsid w:val="FEFBAE56"/>
    <w:rsid w:val="FF198883"/>
    <w:rsid w:val="FF3F2AE1"/>
    <w:rsid w:val="FF6DF0C2"/>
    <w:rsid w:val="FF7A415B"/>
    <w:rsid w:val="FF9D2DC1"/>
    <w:rsid w:val="FFADB24F"/>
    <w:rsid w:val="FFADD35B"/>
    <w:rsid w:val="FFFE882D"/>
    <w:rsid w:val="FFFFA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paragraph" w:styleId="3">
    <w:name w:val="Normal Indent"/>
    <w:basedOn w:val="1"/>
    <w:autoRedefine/>
    <w:qFormat/>
    <w:uiPriority w:val="0"/>
    <w:pPr>
      <w:ind w:firstLine="420"/>
    </w:pPr>
  </w:style>
  <w:style w:type="paragraph" w:styleId="4">
    <w:name w:val="Salutation"/>
    <w:basedOn w:val="1"/>
    <w:next w:val="1"/>
    <w:unhideWhenUsed/>
    <w:qFormat/>
    <w:uiPriority w:val="99"/>
    <w:pPr>
      <w:textAlignment w:val="baseline"/>
    </w:pPr>
    <w:rPr>
      <w:rFonts w:ascii="Times New Roman" w:hAnsi="Times New Roman" w:eastAsia="宋体" w:cs="方正仿宋_GBK"/>
      <w:sz w:val="33"/>
      <w:szCs w:val="33"/>
    </w:rPr>
  </w:style>
  <w:style w:type="paragraph" w:styleId="5">
    <w:name w:val="Body Text"/>
    <w:basedOn w:val="1"/>
    <w:autoRedefine/>
    <w:qFormat/>
    <w:uiPriority w:val="0"/>
    <w:pPr>
      <w:spacing w:before="0" w:after="140" w:line="276" w:lineRule="auto"/>
    </w:p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semiHidden/>
    <w:unhideWhenUsed/>
    <w:qFormat/>
    <w:uiPriority w:val="39"/>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autoRedefine/>
    <w:qFormat/>
    <w:uiPriority w:val="22"/>
    <w:rPr>
      <w:b/>
      <w:bCs/>
    </w:rPr>
  </w:style>
  <w:style w:type="character" w:customStyle="1" w:styleId="12">
    <w:name w:val="apple-converted-space"/>
    <w:basedOn w:val="10"/>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23</Pages>
  <Words>6921</Words>
  <Characters>8658</Characters>
  <Lines>21</Lines>
  <Paragraphs>6</Paragraphs>
  <TotalTime>19</TotalTime>
  <ScaleCrop>false</ScaleCrop>
  <LinksUpToDate>false</LinksUpToDate>
  <CharactersWithSpaces>8720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2018-03-04T07:32:00Z</dcterms:created>
  <dc:creator>微软用户</dc:creator>
  <cp:lastModifiedBy>Administrator</cp:lastModifiedBy>
  <cp:lastPrinted>2024-03-12T07:37:00Z</cp:lastPrinted>
  <dcterms:modified xsi:type="dcterms:W3CDTF">2025-03-12T08:18:38Z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FEC1AB737FE24929A5AF46AC4F8829D1_12</vt:lpwstr>
  </property>
  <property fmtid="{D5CDD505-2E9C-101B-9397-08002B2CF9AE}" pid="4" name="KSOTemplateDocerSaveRecord">
    <vt:lpwstr>eyJoZGlkIjoiMzhjNDNiZWFjYTNiMzJjY2FjZDlhNTYwZmNkMTMyMDAifQ==</vt:lpwstr>
  </property>
</Properties>
</file>