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7410B">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sz w:val="33"/>
          <w:szCs w:val="33"/>
          <w:highlight w:val="none"/>
          <w:lang w:val="en-US" w:eastAsia="zh-CN"/>
        </w:rPr>
      </w:pPr>
      <w:r>
        <w:rPr>
          <w:rFonts w:hint="default" w:ascii="Times New Roman" w:hAnsi="Times New Roman" w:eastAsia="黑体" w:cs="Times New Roman"/>
          <w:sz w:val="33"/>
          <w:szCs w:val="33"/>
          <w:highlight w:val="none"/>
          <w:lang w:eastAsia="zh-CN"/>
        </w:rPr>
        <w:t>附件</w:t>
      </w:r>
      <w:r>
        <w:rPr>
          <w:rFonts w:hint="default" w:ascii="Times New Roman" w:hAnsi="Times New Roman" w:eastAsia="黑体" w:cs="Times New Roman"/>
          <w:sz w:val="33"/>
          <w:szCs w:val="33"/>
          <w:highlight w:val="none"/>
          <w:lang w:val="en-US" w:eastAsia="zh-CN"/>
        </w:rPr>
        <w:t>1</w:t>
      </w:r>
    </w:p>
    <w:p w14:paraId="65B88968">
      <w:pPr>
        <w:spacing w:line="600" w:lineRule="exact"/>
        <w:ind w:firstLine="880" w:firstLineChars="200"/>
        <w:jc w:val="center"/>
        <w:rPr>
          <w:rFonts w:hint="default" w:ascii="Times New Roman" w:hAnsi="Times New Roman" w:eastAsia="方正小标宋_GBK" w:cs="Times New Roman"/>
          <w:sz w:val="44"/>
          <w:szCs w:val="44"/>
          <w:highlight w:val="none"/>
        </w:rPr>
      </w:pPr>
    </w:p>
    <w:p w14:paraId="48C99174">
      <w:pPr>
        <w:spacing w:line="600" w:lineRule="exact"/>
        <w:ind w:firstLine="880" w:firstLineChars="200"/>
        <w:jc w:val="center"/>
        <w:rPr>
          <w:rFonts w:hint="default" w:ascii="Times New Roman" w:hAnsi="Times New Roman" w:eastAsia="方正小标宋_GBK" w:cs="Times New Roman"/>
          <w:sz w:val="44"/>
          <w:szCs w:val="44"/>
          <w:highlight w:val="none"/>
        </w:rPr>
      </w:pPr>
    </w:p>
    <w:p w14:paraId="2023AA29">
      <w:pPr>
        <w:spacing w:line="600" w:lineRule="exact"/>
        <w:ind w:firstLine="880" w:firstLineChars="200"/>
        <w:jc w:val="center"/>
        <w:rPr>
          <w:rFonts w:hint="default" w:ascii="Times New Roman" w:hAnsi="Times New Roman" w:eastAsia="方正小标宋_GBK" w:cs="Times New Roman"/>
          <w:sz w:val="44"/>
          <w:szCs w:val="44"/>
          <w:highlight w:val="none"/>
        </w:rPr>
      </w:pPr>
    </w:p>
    <w:p w14:paraId="19EEC35A">
      <w:pPr>
        <w:spacing w:line="600" w:lineRule="exact"/>
        <w:ind w:firstLine="880" w:firstLineChars="200"/>
        <w:jc w:val="center"/>
        <w:rPr>
          <w:rFonts w:hint="default" w:ascii="Times New Roman" w:hAnsi="Times New Roman" w:eastAsia="方正小标宋_GBK" w:cs="Times New Roman"/>
          <w:sz w:val="44"/>
          <w:szCs w:val="44"/>
          <w:highlight w:val="none"/>
        </w:rPr>
      </w:pPr>
    </w:p>
    <w:p w14:paraId="43BC2E6C">
      <w:pPr>
        <w:spacing w:line="600" w:lineRule="exact"/>
        <w:ind w:firstLine="880" w:firstLineChars="200"/>
        <w:jc w:val="center"/>
        <w:rPr>
          <w:rFonts w:hint="default" w:ascii="Times New Roman" w:hAnsi="Times New Roman" w:eastAsia="方正小标宋_GBK" w:cs="Times New Roman"/>
          <w:sz w:val="44"/>
          <w:szCs w:val="44"/>
          <w:highlight w:val="none"/>
        </w:rPr>
      </w:pPr>
    </w:p>
    <w:p w14:paraId="287EAE5B">
      <w:pPr>
        <w:spacing w:line="600" w:lineRule="exact"/>
        <w:ind w:firstLine="880" w:firstLineChars="200"/>
        <w:jc w:val="center"/>
        <w:rPr>
          <w:rFonts w:hint="default" w:ascii="Times New Roman" w:hAnsi="Times New Roman" w:eastAsia="方正小标宋_GBK" w:cs="Times New Roman"/>
          <w:sz w:val="44"/>
          <w:szCs w:val="44"/>
          <w:highlight w:val="none"/>
        </w:rPr>
      </w:pPr>
    </w:p>
    <w:p w14:paraId="776EEECD">
      <w:pPr>
        <w:spacing w:line="600" w:lineRule="exact"/>
        <w:ind w:firstLine="880" w:firstLineChars="200"/>
        <w:jc w:val="center"/>
        <w:rPr>
          <w:rFonts w:hint="default" w:ascii="Times New Roman" w:hAnsi="Times New Roman" w:eastAsia="方正小标宋_GBK" w:cs="Times New Roman"/>
          <w:sz w:val="44"/>
          <w:szCs w:val="44"/>
          <w:highlight w:val="none"/>
        </w:rPr>
      </w:pPr>
    </w:p>
    <w:p w14:paraId="018C6129">
      <w:pPr>
        <w:spacing w:line="600" w:lineRule="exact"/>
        <w:ind w:firstLine="880" w:firstLineChars="200"/>
        <w:jc w:val="center"/>
        <w:rPr>
          <w:rFonts w:hint="default" w:ascii="Times New Roman" w:hAnsi="Times New Roman" w:eastAsia="方正小标宋_GBK" w:cs="Times New Roman"/>
          <w:sz w:val="44"/>
          <w:szCs w:val="44"/>
          <w:highlight w:val="none"/>
        </w:rPr>
      </w:pPr>
    </w:p>
    <w:p w14:paraId="7DB3D88E">
      <w:pPr>
        <w:spacing w:line="240" w:lineRule="auto"/>
        <w:ind w:firstLine="0" w:firstLineChars="0"/>
        <w:jc w:val="center"/>
        <w:rPr>
          <w:rFonts w:hint="eastAsia" w:ascii="Times New Roman" w:hAnsi="Times New Roman" w:eastAsia="方正小标宋_GBK" w:cs="Times New Roman"/>
          <w:b w:val="0"/>
          <w:bCs w:val="0"/>
          <w:sz w:val="72"/>
          <w:szCs w:val="72"/>
          <w:highlight w:val="none"/>
          <w:lang w:eastAsia="zh-CN"/>
        </w:rPr>
      </w:pPr>
      <w:r>
        <w:rPr>
          <w:rFonts w:hint="eastAsia" w:ascii="Times New Roman" w:hAnsi="Times New Roman" w:eastAsia="方正小标宋_GBK" w:cs="Times New Roman"/>
          <w:sz w:val="72"/>
          <w:szCs w:val="72"/>
          <w:highlight w:val="none"/>
          <w:lang w:val="en-US" w:eastAsia="zh-CN"/>
        </w:rPr>
        <w:t>广安市前锋区</w:t>
      </w:r>
      <w:r>
        <w:rPr>
          <w:rFonts w:hint="eastAsia" w:ascii="Times New Roman" w:hAnsi="Times New Roman" w:eastAsia="方正小标宋_GBK" w:cs="Times New Roman"/>
          <w:b/>
          <w:bCs/>
          <w:sz w:val="72"/>
          <w:szCs w:val="72"/>
          <w:highlight w:val="none"/>
          <w:lang w:val="en-US" w:eastAsia="zh-CN"/>
        </w:rPr>
        <w:t>教育科技和体育局</w:t>
      </w:r>
      <w:r>
        <w:rPr>
          <w:rFonts w:hint="eastAsia" w:ascii="Times New Roman" w:hAnsi="Times New Roman" w:eastAsia="方正小标宋_GBK" w:cs="Times New Roman"/>
          <w:sz w:val="72"/>
          <w:szCs w:val="72"/>
          <w:highlight w:val="none"/>
          <w:lang w:val="en-US" w:eastAsia="zh-CN"/>
        </w:rPr>
        <w:t>2025年</w:t>
      </w:r>
      <w:r>
        <w:rPr>
          <w:rFonts w:hint="default" w:ascii="Times New Roman" w:hAnsi="Times New Roman" w:eastAsia="方正小标宋_GBK" w:cs="Times New Roman"/>
          <w:b w:val="0"/>
          <w:bCs w:val="0"/>
          <w:sz w:val="72"/>
          <w:szCs w:val="72"/>
          <w:highlight w:val="none"/>
        </w:rPr>
        <w:t>部门预算</w:t>
      </w:r>
    </w:p>
    <w:p w14:paraId="1CD315FA">
      <w:pP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br w:type="page"/>
      </w:r>
    </w:p>
    <w:p w14:paraId="428A812E">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14:paraId="056A32D4">
      <w:pPr>
        <w:jc w:val="center"/>
        <w:rPr>
          <w:rFonts w:hint="default" w:ascii="Times New Roman" w:hAnsi="Times New Roman" w:eastAsia="方正小标宋_GBK" w:cs="Times New Roman"/>
          <w:sz w:val="44"/>
          <w:szCs w:val="44"/>
          <w:highlight w:val="none"/>
          <w:lang w:eastAsia="zh-CN"/>
        </w:rPr>
      </w:pPr>
    </w:p>
    <w:p w14:paraId="425C335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 xml:space="preserve">第一部分  </w:t>
      </w:r>
      <w:r>
        <w:rPr>
          <w:rFonts w:hint="eastAsia" w:ascii="Times New Roman" w:hAnsi="Times New Roman" w:eastAsia="黑体" w:cs="Times New Roman"/>
          <w:kern w:val="0"/>
          <w:sz w:val="32"/>
          <w:szCs w:val="32"/>
          <w:highlight w:val="none"/>
          <w:lang w:val="en-US" w:eastAsia="zh-CN" w:bidi="ar"/>
        </w:rPr>
        <w:t>广安市前锋区教育科技和体育局</w:t>
      </w:r>
      <w:r>
        <w:rPr>
          <w:rFonts w:hint="default" w:ascii="Times New Roman" w:hAnsi="Times New Roman" w:eastAsia="黑体" w:cs="Times New Roman"/>
          <w:kern w:val="0"/>
          <w:sz w:val="32"/>
          <w:szCs w:val="32"/>
          <w:highlight w:val="none"/>
          <w:lang w:val="en-US" w:eastAsia="zh-CN" w:bidi="ar"/>
        </w:rPr>
        <w:t>概况</w:t>
      </w:r>
    </w:p>
    <w:p w14:paraId="27DD5A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rPr>
        <w:t>一、</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基本职能及主要工作</w:t>
      </w:r>
    </w:p>
    <w:p w14:paraId="48F8A1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rPr>
      </w:pPr>
      <w:r>
        <w:rPr>
          <w:rFonts w:hint="eastAsia" w:ascii="Times New Roman" w:hAnsi="Times New Roman" w:eastAsia="仿宋_GB2312" w:cs="仿宋_GB2312"/>
          <w:i w:val="0"/>
          <w:caps w:val="0"/>
          <w:color w:val="333333"/>
          <w:spacing w:val="0"/>
          <w:sz w:val="32"/>
          <w:szCs w:val="32"/>
          <w:highlight w:val="none"/>
          <w:shd w:val="clear" w:color="auto" w:fill="auto"/>
        </w:rPr>
        <w:t>二、</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部门</w:t>
      </w:r>
      <w:r>
        <w:rPr>
          <w:rFonts w:hint="eastAsia" w:ascii="Times New Roman" w:hAnsi="Times New Roman" w:eastAsia="仿宋_GB2312" w:cs="仿宋_GB2312"/>
          <w:i w:val="0"/>
          <w:caps w:val="0"/>
          <w:color w:val="333333"/>
          <w:spacing w:val="0"/>
          <w:sz w:val="32"/>
          <w:szCs w:val="32"/>
          <w:highlight w:val="none"/>
          <w:shd w:val="clear" w:color="auto" w:fill="auto"/>
        </w:rPr>
        <w:t>预算单位构成</w:t>
      </w:r>
    </w:p>
    <w:p w14:paraId="28DB88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二</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广安市前锋区教育科技和体育局2025年</w:t>
      </w:r>
      <w:r>
        <w:rPr>
          <w:rFonts w:hint="default" w:ascii="Times New Roman" w:hAnsi="Times New Roman" w:eastAsia="黑体" w:cs="Times New Roman"/>
          <w:kern w:val="0"/>
          <w:sz w:val="32"/>
          <w:szCs w:val="32"/>
          <w:highlight w:val="none"/>
          <w:lang w:val="en-US" w:eastAsia="zh-CN" w:bidi="ar"/>
        </w:rPr>
        <w:t>部门预算情况说明</w:t>
      </w:r>
    </w:p>
    <w:p w14:paraId="1A4639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三</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名词解释</w:t>
      </w:r>
    </w:p>
    <w:p w14:paraId="565706D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四</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广安市前锋区教育科技和体育局2025年</w:t>
      </w:r>
      <w:r>
        <w:rPr>
          <w:rFonts w:hint="default" w:ascii="Times New Roman" w:hAnsi="Times New Roman" w:eastAsia="黑体" w:cs="Times New Roman"/>
          <w:kern w:val="0"/>
          <w:sz w:val="32"/>
          <w:szCs w:val="32"/>
          <w:highlight w:val="none"/>
          <w:lang w:val="en-US" w:eastAsia="zh-CN" w:bidi="ar"/>
        </w:rPr>
        <w:t>部门预算表</w:t>
      </w:r>
    </w:p>
    <w:p w14:paraId="438AAC11">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表1 部门收支总表</w:t>
      </w:r>
    </w:p>
    <w:p w14:paraId="6384D797">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14:paraId="7AFC84D0">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14:paraId="793FA147">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14:paraId="262AA30E">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14:paraId="67B4BDA3">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14:paraId="586AF602">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14:paraId="38702F22">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14:paraId="5EC72BFF">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14:paraId="74C9C5B8">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14:paraId="0C1135CC">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14:paraId="2391B0E5">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14:paraId="04429067">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14:paraId="1764616C">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14:paraId="24ADAE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sectPr>
          <w:headerReference r:id="rId3" w:type="default"/>
          <w:footerReference r:id="rId4" w:type="default"/>
          <w:pgSz w:w="11906" w:h="16838"/>
          <w:pgMar w:top="1440" w:right="446"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14:paraId="2FC922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EB152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4CD9C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2155F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EF604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36FF5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9C6D6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3CDD2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3D229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93DC5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第一部分 广安市前锋区教育科技和体育局概况</w:t>
      </w:r>
    </w:p>
    <w:p w14:paraId="76F64F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spacing w:before="0" w:beforeAutospacing="0" w:after="0" w:afterAutospacing="0" w:line="240" w:lineRule="auto"/>
        <w:ind w:right="0" w:rightChars="0" w:firstLine="640" w:firstLineChars="200"/>
        <w:jc w:val="both"/>
        <w:textAlignment w:val="auto"/>
        <w:rPr>
          <w:rStyle w:val="9"/>
          <w:rFonts w:hint="eastAsia" w:ascii="Times New Roman" w:hAnsi="Times New Roman" w:eastAsia="黑体" w:cs="宋体"/>
          <w:b w:val="0"/>
          <w:bCs/>
          <w:i w:val="0"/>
          <w:caps w:val="0"/>
          <w:color w:val="333333"/>
          <w:spacing w:val="0"/>
          <w:sz w:val="32"/>
          <w:szCs w:val="21"/>
          <w:highlight w:val="none"/>
          <w:shd w:val="clear" w:color="auto" w:fill="auto"/>
          <w:lang w:eastAsia="zh-CN"/>
        </w:rPr>
        <w:sectPr>
          <w:footerReference r:id="rId5" w:type="default"/>
          <w:pgSz w:w="11906" w:h="16838"/>
          <w:pgMar w:top="1440" w:right="446" w:bottom="1440" w:left="1800" w:header="720" w:footer="720" w:gutter="0"/>
          <w:pgBorders w:offsetFrom="page">
            <w:top w:val="none" w:sz="0" w:space="0"/>
            <w:left w:val="none" w:sz="0" w:space="0"/>
            <w:bottom w:val="none" w:sz="0" w:space="0"/>
            <w:right w:val="none" w:sz="0" w:space="0"/>
          </w:pgBorders>
          <w:pgNumType w:fmt="decimal" w:start="1"/>
          <w:cols w:space="720" w:num="1"/>
          <w:docGrid w:type="lines" w:linePitch="312" w:charSpace="0"/>
        </w:sectPr>
      </w:pPr>
    </w:p>
    <w:p w14:paraId="3F5FD322">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一、基本职能及主要工作</w:t>
      </w:r>
    </w:p>
    <w:p w14:paraId="5A723CE1">
      <w:pPr>
        <w:spacing w:line="60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w:t>
      </w:r>
      <w:r>
        <w:rPr>
          <w:rFonts w:hint="eastAsia" w:ascii="Times New Roman" w:hAnsi="Times New Roman" w:eastAsia="黑体" w:cs="Times New Roman"/>
          <w:kern w:val="0"/>
          <w:sz w:val="32"/>
          <w:szCs w:val="32"/>
          <w:highlight w:val="none"/>
          <w:lang w:val="en-US" w:eastAsia="zh-CN" w:bidi="ar"/>
        </w:rPr>
        <w:t>广安市前锋区教育科技和体育局职</w:t>
      </w:r>
      <w:r>
        <w:rPr>
          <w:rFonts w:hint="default" w:ascii="Times New Roman" w:hAnsi="Times New Roman" w:eastAsia="楷体_GB2312" w:cs="Times New Roman"/>
          <w:b/>
          <w:sz w:val="32"/>
          <w:szCs w:val="32"/>
          <w:highlight w:val="none"/>
        </w:rPr>
        <w:t>能简介。</w:t>
      </w:r>
    </w:p>
    <w:p w14:paraId="3B38EC7F">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贯彻执行党和国家有关教育、科技和体育的方针政策和法律法规，拟定全区教育科技体育改革与发展规划并组织实施。</w:t>
      </w:r>
    </w:p>
    <w:p w14:paraId="294BDBB7">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负责管理指导全区学前教育、基础教育、职业技术教育、成人教育、特殊教育、广播电视教育、网络教育、科技创新驱动发展和知识产权宣传保护、体育发展等工作。管理、指导、协调乡镇教育科技体育工作，制定全区体育场馆建设发展规划并组织实施，制定全区体育产业发展规划，负责推动多元化体育服务体系建设，确定运动项目设置和重点布局。</w:t>
      </w:r>
    </w:p>
    <w:p w14:paraId="1D81C4B8">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按管理权限负责民办教育的开办、撤销、合并的审核或报批，做好民办教育的年审和监督管理工作。</w:t>
      </w:r>
    </w:p>
    <w:p w14:paraId="365EF04D">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负责指导各级教育体育教学改革工作。指导学校内部管理体制改革，指导学校教师绩效分配改革，指导教育科学研究和教学研究，指导学校布局结构调整，指导体育教育综合改革。</w:t>
      </w:r>
    </w:p>
    <w:p w14:paraId="4D78A522">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统筹管理确定后的本部门教育科技体育经费。会同有关部门拟定筹措教育科技体育经费、教育科技体育拨款、教育科技体育基建投资、教育科技体育收费及管理等政策规定。监督全区教育科技体育经费的筹措和使用情况。负责教育科技体育系统财务内部审计工作。</w:t>
      </w:r>
    </w:p>
    <w:p w14:paraId="546B3D6A">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统筹规划和协调指导全区教育科技体育干部和专业人才的培训，负责各级各类学校教职工队伍建设。加强学校领导和教职员工的思想政治工作。加强学校领导班子和干部队伍建设。规划并组织管理教师继续教育工作，会同有关部门做好教职工年度考核和专业技术职务（技术等级）的评审报批及聘用工作。负责教师资格认定。承办全区教育科技体育系统各类先进、骨干教师、特级教师、学科带头人、科技拔尖人才、科技特派员等的推荐、评选、表彰工作。抓好师范院校大中专毕业生就业服务、教师招聘和</w:t>
      </w:r>
      <w:r>
        <w:rPr>
          <w:rFonts w:hint="eastAsia" w:ascii="仿宋_GB2312" w:hAnsi="仿宋_GB2312" w:eastAsia="仿宋_GB2312" w:cs="仿宋_GB2312"/>
          <w:kern w:val="2"/>
          <w:sz w:val="32"/>
          <w:szCs w:val="32"/>
          <w:lang w:eastAsia="zh-CN"/>
        </w:rPr>
        <w:t>离退休人员</w:t>
      </w:r>
      <w:r>
        <w:rPr>
          <w:rFonts w:hint="eastAsia" w:ascii="仿宋_GB2312" w:hAnsi="仿宋_GB2312" w:eastAsia="仿宋_GB2312" w:cs="仿宋_GB2312"/>
          <w:kern w:val="2"/>
          <w:sz w:val="32"/>
          <w:szCs w:val="32"/>
        </w:rPr>
        <w:t>的管理工作。</w:t>
      </w:r>
    </w:p>
    <w:p w14:paraId="47F41C2A">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7</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归口管理全区学历教育及考试工作，负责普通高校、成人高校和普通高中学校招生考试及自学考试的组织工作。负责各类招生计划制定。组织初、高中毕业会考。</w:t>
      </w:r>
    </w:p>
    <w:p w14:paraId="58F21309">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8</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制定和组织实施全区各级各类学校教育技术装备和教育信息化建设计划。指导学校现代教育技术、远程教育应用和管理。指导学校教学设施、仪器、图书资料的配备。</w:t>
      </w:r>
    </w:p>
    <w:p w14:paraId="4108C98E">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9</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指导全区各级各类学校安全工作，加强校舍、食品、卫生、饮水、道路交通、教学设施设备、科技设施设备、体育设施设备等安全监管，协助处理学校重大安全事故。</w:t>
      </w:r>
    </w:p>
    <w:p w14:paraId="038D9C19">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10</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拟订全区科技体制改革的规范性文件，指导区属科研机构科技体制改革工作；拟订科技人才资源合理配置，会同有关部门拟订人才队伍建设规划和提出建议。</w:t>
      </w:r>
    </w:p>
    <w:p w14:paraId="2293CC9D">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11</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拟订全区科技发展的规范性文件并监督实施；组织拟订全区科技促进经济与社会发展重大问题的解决方案，提出全区科技发展的重大布局和优先领域，负责全区科技创新体系建设。</w:t>
      </w:r>
    </w:p>
    <w:p w14:paraId="7BE854E6">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12</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负责拟订科技奖励、成果推广、成果鉴定、促进技术市场和科技中介组织发展的规范性文件；负责科技、科普统计工作。</w:t>
      </w:r>
    </w:p>
    <w:p w14:paraId="69CBA754">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13</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研究多渠道增加科技投入的措施，会同有关部门提出强化科技投入及优化科技资源配置的建议；归口管理科技研究开发经费</w:t>
      </w:r>
      <w:r>
        <w:rPr>
          <w:rFonts w:hint="eastAsia" w:ascii="仿宋_GB2312" w:hAnsi="仿宋_GB2312" w:eastAsia="仿宋_GB2312" w:cs="仿宋_GB2312"/>
          <w:kern w:val="2"/>
          <w:sz w:val="32"/>
          <w:szCs w:val="32"/>
          <w:lang w:eastAsia="zh-CN"/>
        </w:rPr>
        <w:t>和其他</w:t>
      </w:r>
      <w:r>
        <w:rPr>
          <w:rFonts w:hint="eastAsia" w:ascii="仿宋_GB2312" w:hAnsi="仿宋_GB2312" w:eastAsia="仿宋_GB2312" w:cs="仿宋_GB2312"/>
          <w:kern w:val="2"/>
          <w:sz w:val="32"/>
          <w:szCs w:val="32"/>
        </w:rPr>
        <w:t>科技项目专项经费；会同有关部门运用财政、信贷、税收等经济手段，实施对科技投入的宏观调控；负责本部门科技经费的预算编制和对科技经费使用进行监督管理。</w:t>
      </w:r>
    </w:p>
    <w:p w14:paraId="38A245CB">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14</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会同有关部门拟订产学研合作的规范性文件，负责全区与科学技术的引进、消化、吸收再创新工作。</w:t>
      </w:r>
    </w:p>
    <w:p w14:paraId="6E60D10E">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15</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协调全区工业、农业和社会事业方面的科技工作，指导农业科技园区、科技示范基地和高新技术企业、创新型企业等工作，推进科技基础平台建设和科技资源共享；组织拟订科普工作规划，负责科学技术普及工作。</w:t>
      </w:r>
    </w:p>
    <w:p w14:paraId="004948E8">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16</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贯彻国家、省、市知识产权发展战略，拟</w:t>
      </w:r>
      <w:r>
        <w:rPr>
          <w:rFonts w:hint="eastAsia" w:ascii="仿宋_GB2312" w:hAnsi="仿宋_GB2312" w:eastAsia="仿宋_GB2312" w:cs="仿宋_GB2312"/>
          <w:kern w:val="2"/>
          <w:sz w:val="32"/>
          <w:szCs w:val="32"/>
          <w:lang w:val="en-US" w:eastAsia="zh-CN"/>
        </w:rPr>
        <w:t>定</w:t>
      </w:r>
      <w:r>
        <w:rPr>
          <w:rFonts w:hint="eastAsia" w:ascii="仿宋_GB2312" w:hAnsi="仿宋_GB2312" w:eastAsia="仿宋_GB2312" w:cs="仿宋_GB2312"/>
          <w:kern w:val="2"/>
          <w:sz w:val="32"/>
          <w:szCs w:val="32"/>
        </w:rPr>
        <w:t>全区专利工作发展规划并组织实施，指导专利行政执法工作。</w:t>
      </w:r>
    </w:p>
    <w:p w14:paraId="4D67134F">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17</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负责科技信息工作的组织协调、业务指导，推进科技文献资源平台建设，开展情报调研服务和科技查新业务，加快科技信息传播。</w:t>
      </w:r>
    </w:p>
    <w:p w14:paraId="5BD6B36D">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18</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承担对口定点科技扶贫、区科学技术奖励委员会办公室和区知识产权工作领导小组办公室的日常工作。</w:t>
      </w:r>
    </w:p>
    <w:p w14:paraId="170D586C">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19</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负责统筹规划全区群众体育发展，推行全民健身计划，监督实施国家体育锻炼标准，推动全区国民体质监测和社会体育指导工作队伍建设，指导公共体育设施的建设，负责对公共体育设施的监督管理。</w:t>
      </w:r>
    </w:p>
    <w:p w14:paraId="748C0D80">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负责统筹规划全区竞技体育发展，指导和管理体育训练、体育竞赛和运动队伍建设，组织和统筹参加区级以上综合运动会，负责组织协调区级综合性运动会的竞赛工作，协调运动员社会保障工作。负责组织、监督全区体育运动中的反兴奋剂工作。</w:t>
      </w:r>
    </w:p>
    <w:p w14:paraId="20140067">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21</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负责统筹规划全区青少年体育发展，指导和推进青少年体育工作。</w:t>
      </w:r>
    </w:p>
    <w:p w14:paraId="455EB313">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22</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拟定全区体育产业发展政策，归口管理并发展体育市场，规范体育服务管理，推动体育标准化建设，负责监督管理全区体育彩票销售工作。</w:t>
      </w:r>
    </w:p>
    <w:p w14:paraId="463466E3">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23</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指导、检查、考核并协调处理教育科技体育系统信访稳定和群众工作；负责全区教育科技体育系统基本信息的统计、分析工作。代区政府管理和指导教育督导与评估工作，巩固提高“普九”和“扫盲”成果。</w:t>
      </w:r>
    </w:p>
    <w:p w14:paraId="6CDD81C1">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24</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管理本局直属事业单位。指导教育科技体育学会、协会、研究会、基金会等社会团体开展工作。负责语言文字和指导推广普通话工作。</w:t>
      </w:r>
    </w:p>
    <w:p w14:paraId="2D336016">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25</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指导全区教育科技体育系统搞好党风廉政建设工作。</w:t>
      </w:r>
    </w:p>
    <w:p w14:paraId="40B29870">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26</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指导体育外事有关工作。</w:t>
      </w:r>
    </w:p>
    <w:p w14:paraId="6AFE917F">
      <w:pPr>
        <w:pStyle w:val="6"/>
        <w:shd w:val="clear" w:color="auto" w:fill="FFFFFF"/>
        <w:spacing w:before="0" w:beforeAutospacing="0" w:after="0" w:afterAutospacing="0" w:line="56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27</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承担区人民政府公布的有关行政审批事项。</w:t>
      </w:r>
    </w:p>
    <w:p w14:paraId="6B4C8E81">
      <w:pPr>
        <w:pStyle w:val="6"/>
        <w:shd w:val="clear" w:color="auto" w:fill="FFFFFF"/>
        <w:spacing w:before="0" w:beforeAutospacing="0" w:after="0" w:afterAutospacing="0" w:line="560" w:lineRule="atLeast"/>
        <w:ind w:firstLine="640" w:firstLineChars="200"/>
        <w:rPr>
          <w:rFonts w:hint="eastAsia"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kern w:val="2"/>
          <w:sz w:val="32"/>
          <w:szCs w:val="32"/>
        </w:rPr>
        <w:t>28</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承办区人民政府交办的其他事项。</w:t>
      </w:r>
    </w:p>
    <w:p w14:paraId="7E2F1BA8">
      <w:pPr>
        <w:spacing w:line="60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w:t>
      </w:r>
      <w:r>
        <w:rPr>
          <w:rFonts w:hint="eastAsia" w:ascii="Times New Roman" w:hAnsi="Times New Roman" w:eastAsia="黑体" w:cs="Times New Roman"/>
          <w:kern w:val="0"/>
          <w:sz w:val="32"/>
          <w:szCs w:val="32"/>
          <w:highlight w:val="none"/>
          <w:lang w:val="en-US" w:eastAsia="zh-CN" w:bidi="ar"/>
        </w:rPr>
        <w:t>广安市前锋区教育科技和体育局</w:t>
      </w:r>
      <w:r>
        <w:rPr>
          <w:rFonts w:hint="eastAsia" w:ascii="Times New Roman" w:hAnsi="Times New Roman" w:eastAsia="楷体_GB2312" w:cs="Times New Roman"/>
          <w:b/>
          <w:sz w:val="32"/>
          <w:szCs w:val="32"/>
          <w:highlight w:val="none"/>
          <w:lang w:eastAsia="zh-CN"/>
        </w:rPr>
        <w:t>2025年</w:t>
      </w:r>
      <w:r>
        <w:rPr>
          <w:rFonts w:hint="default" w:ascii="Times New Roman" w:hAnsi="Times New Roman" w:eastAsia="楷体_GB2312" w:cs="Times New Roman"/>
          <w:b/>
          <w:sz w:val="32"/>
          <w:szCs w:val="32"/>
          <w:highlight w:val="none"/>
        </w:rPr>
        <w:t>重点工作。</w:t>
      </w:r>
    </w:p>
    <w:p w14:paraId="2D2FC170">
      <w:pPr>
        <w:pStyle w:val="6"/>
        <w:keepNext w:val="0"/>
        <w:keepLines w:val="0"/>
        <w:widowControl/>
        <w:suppressLineNumbers w:val="0"/>
        <w:pBdr>
          <w:bottom w:val="none" w:color="FFFFFF" w:sz="0" w:space="0"/>
        </w:pBdr>
        <w:spacing w:before="0" w:beforeAutospacing="0" w:after="0" w:afterAutospacing="0" w:line="600" w:lineRule="exact"/>
        <w:ind w:left="0" w:right="0" w:firstLine="42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2025年是“十四五”规划的收官之年，全区教育科技体育工作将以习近平新时代中国特色社会主义思想为指导，全面把握教育的政治属性、人民属性、战略属性，围绕“1234”工作思路（1个引领、2项改革、3项行动、4个保障），以六个重大为抓手，强化三亮举措（亮牌、亮考核、亮追责），压实责任，务求实效，推动全区教育科技体育事业高质量发展。</w:t>
      </w:r>
    </w:p>
    <w:p w14:paraId="075F5044">
      <w:pPr>
        <w:pStyle w:val="6"/>
        <w:keepNext w:val="0"/>
        <w:keepLines w:val="0"/>
        <w:widowControl/>
        <w:suppressLineNumbers w:val="0"/>
        <w:pBdr>
          <w:bottom w:val="none" w:color="FFFFFF" w:sz="0" w:space="0"/>
        </w:pBdr>
        <w:spacing w:before="0" w:beforeAutospacing="0" w:after="0" w:afterAutospacing="0" w:line="600" w:lineRule="exact"/>
        <w:ind w:left="0" w:right="0" w:firstLine="42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一</w:t>
      </w:r>
      <w:r>
        <w:rPr>
          <w:rFonts w:hint="eastAsia" w:ascii="Times New Roman" w:hAnsi="Times New Roman" w:eastAsia="仿宋_GB2312" w:cs="Times New Roman"/>
          <w:kern w:val="2"/>
          <w:sz w:val="32"/>
          <w:szCs w:val="32"/>
          <w:highlight w:val="none"/>
          <w:lang w:val="en-US" w:eastAsia="zh-CN" w:bidi="ar-SA"/>
        </w:rPr>
        <w:t>是</w:t>
      </w:r>
      <w:r>
        <w:rPr>
          <w:rFonts w:hint="default" w:ascii="Times New Roman" w:hAnsi="Times New Roman" w:eastAsia="仿宋_GB2312" w:cs="Times New Roman"/>
          <w:kern w:val="2"/>
          <w:sz w:val="32"/>
          <w:szCs w:val="32"/>
          <w:highlight w:val="none"/>
          <w:lang w:val="en-US" w:eastAsia="zh-CN" w:bidi="ar-SA"/>
        </w:rPr>
        <w:t>坚持党建统领，全面巩固政治根基。一是加强党的全面领导。深入推进党组织领导的校长负责制，选优配齐班子，充分发挥党组织的政治核心作用。二是规范党内组织生活。严格落实“第一议题”，常态化推进“三会一课”、主题党日、民主评议党员、谈心谈话等制度落地落实；持续指导学校打造“一校一品”党建品牌。三是守牢意识形态阵地。完善意识形态工作分析研判和情况报告制度，推进中小学思想政治教育一体化建设，强化师生政治思想教育和校园文化阵地管理，确保在政治方向、舆论引导、价值取向上立场坚定。</w:t>
      </w:r>
    </w:p>
    <w:p w14:paraId="08620031">
      <w:pPr>
        <w:pStyle w:val="6"/>
        <w:keepNext w:val="0"/>
        <w:keepLines w:val="0"/>
        <w:widowControl/>
        <w:suppressLineNumbers w:val="0"/>
        <w:pBdr>
          <w:bottom w:val="none" w:color="FFFFFF" w:sz="0" w:space="0"/>
        </w:pBdr>
        <w:spacing w:before="0" w:beforeAutospacing="0" w:after="0" w:afterAutospacing="0" w:line="600" w:lineRule="exact"/>
        <w:ind w:left="0" w:right="0" w:firstLine="42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二</w:t>
      </w:r>
      <w:r>
        <w:rPr>
          <w:rFonts w:hint="eastAsia" w:ascii="Times New Roman" w:hAnsi="Times New Roman" w:eastAsia="仿宋_GB2312" w:cs="Times New Roman"/>
          <w:kern w:val="2"/>
          <w:sz w:val="32"/>
          <w:szCs w:val="32"/>
          <w:highlight w:val="none"/>
          <w:lang w:val="en-US" w:eastAsia="zh-CN" w:bidi="ar-SA"/>
        </w:rPr>
        <w:t>是</w:t>
      </w:r>
      <w:r>
        <w:rPr>
          <w:rFonts w:hint="default" w:ascii="Times New Roman" w:hAnsi="Times New Roman" w:eastAsia="仿宋_GB2312" w:cs="Times New Roman"/>
          <w:kern w:val="2"/>
          <w:sz w:val="32"/>
          <w:szCs w:val="32"/>
          <w:highlight w:val="none"/>
          <w:lang w:val="en-US" w:eastAsia="zh-CN" w:bidi="ar-SA"/>
        </w:rPr>
        <w:t>突出改革赋能，激发教育发展活力。一是积极探索“1+X”学区管理模式，实施学区长负责制，学区长对学区实施统一管理，学区每月至少召开1次校长联席会议。建立学区统筹机制，以学区为单元，整合现有资源，进一步规范学校管理模式，解决班子运行弱、教育管理弱、师资力量弱等短板，激发学区治理活力。二是全面落地深化高考改革。强化学生生涯规划、学业考试、综合素质评价、选课走班、高考报名、高考录取等培训，局党组成员建立定期调研制度，落实高中教研员包点工作，高中教研员每月到校调研1次，确保高考改革平稳顺利实施。</w:t>
      </w:r>
    </w:p>
    <w:p w14:paraId="5363E1F3">
      <w:pPr>
        <w:pStyle w:val="6"/>
        <w:keepNext w:val="0"/>
        <w:keepLines w:val="0"/>
        <w:widowControl/>
        <w:suppressLineNumbers w:val="0"/>
        <w:pBdr>
          <w:bottom w:val="none" w:color="FFFFFF" w:sz="0" w:space="0"/>
        </w:pBdr>
        <w:spacing w:before="0" w:beforeAutospacing="0" w:after="0" w:afterAutospacing="0" w:line="600" w:lineRule="exact"/>
        <w:ind w:left="0" w:right="0" w:firstLine="42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三</w:t>
      </w:r>
      <w:r>
        <w:rPr>
          <w:rFonts w:hint="eastAsia" w:ascii="Times New Roman" w:hAnsi="Times New Roman" w:eastAsia="仿宋_GB2312" w:cs="Times New Roman"/>
          <w:kern w:val="2"/>
          <w:sz w:val="32"/>
          <w:szCs w:val="32"/>
          <w:highlight w:val="none"/>
          <w:lang w:val="en-US" w:eastAsia="zh-CN" w:bidi="ar-SA"/>
        </w:rPr>
        <w:t>是</w:t>
      </w:r>
      <w:r>
        <w:rPr>
          <w:rFonts w:hint="default" w:ascii="Times New Roman" w:hAnsi="Times New Roman" w:eastAsia="仿宋_GB2312" w:cs="Times New Roman"/>
          <w:kern w:val="2"/>
          <w:sz w:val="32"/>
          <w:szCs w:val="32"/>
          <w:highlight w:val="none"/>
          <w:lang w:val="en-US" w:eastAsia="zh-CN" w:bidi="ar-SA"/>
        </w:rPr>
        <w:t>实施三项行动，提升公共服务水平。</w:t>
      </w:r>
    </w:p>
    <w:p w14:paraId="4DB7215E">
      <w:pPr>
        <w:pStyle w:val="6"/>
        <w:keepNext w:val="0"/>
        <w:keepLines w:val="0"/>
        <w:widowControl/>
        <w:suppressLineNumbers w:val="0"/>
        <w:pBdr>
          <w:bottom w:val="none" w:color="FFFFFF" w:sz="0" w:space="0"/>
        </w:pBdr>
        <w:spacing w:before="0" w:beforeAutospacing="0" w:after="0" w:afterAutospacing="0" w:line="600" w:lineRule="exact"/>
        <w:ind w:left="0" w:right="0" w:firstLine="42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教育质量提优行动。一是抓实学前教育普惠提质。拓展成渝合作宽度，持续区内幼儿园与成都第二十幼、渝北幼儿园在教师互派、联合教学开展合作，聚力打造“小精特”示范园。二是促进义务教育优质均衡。小学阶段做大做强思源实验小学、代市小学等学区中心校；初中阶段做大做强城区学校，用好成都七中网络教育资源，让区内优质生源引得来、留得住、学得好。三是助推高中教育特色发展。以创省级特色示范校为契机，走特色化、品牌化发展新路子。四是持续开展交流合作。加大与重庆、成都等知名学校开展深度教育教学研究交流，选派区内优秀教师、校级领导到成都第二十幼儿园、西南大学进行跟岗学习，实现优质教育资源共享。</w:t>
      </w:r>
    </w:p>
    <w:p w14:paraId="77F49921">
      <w:pPr>
        <w:pStyle w:val="6"/>
        <w:keepNext w:val="0"/>
        <w:keepLines w:val="0"/>
        <w:widowControl/>
        <w:suppressLineNumbers w:val="0"/>
        <w:pBdr>
          <w:bottom w:val="none" w:color="FFFFFF" w:sz="0" w:space="0"/>
        </w:pBdr>
        <w:spacing w:before="0" w:beforeAutospacing="0" w:after="0" w:afterAutospacing="0" w:line="590" w:lineRule="exact"/>
        <w:ind w:left="0" w:right="0" w:firstLine="42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体育升级提档行动。一是实施群众体育惠民工程。以构建更高水平全民健身公共服务体系为核心，加快建设代市镇全民健身中心、龙塘街道全民健身中心，打造城市“10分钟”健身圈，实现“人人在运动，人人要运动”。二是实施竞技体育提升工程。以承办第十五届省运会为契机，加大场地设施提档升级力度，全力做好场馆准备。新（改）建体操训练中心等场馆3个，为学生和运动员高水平竞技训练提供保障。积极参加省市体育赛事，广泛开展体育竞赛，建立常态化的校园体育竞赛机制。三是实施体育产业提质工程。以体育馆为核心，有效组康、休闲、娱乐、商业等功能，打造功能互补、相互支持、相互裨益的体育消费聚集地。健积极推动工业园区运动服饰等前锋潮牌发展，招引更多运动装备生产企业入驻前锋，争取成为四川省体育赛事产品生产地。</w:t>
      </w:r>
    </w:p>
    <w:p w14:paraId="7EE62F44">
      <w:pPr>
        <w:pStyle w:val="6"/>
        <w:keepNext w:val="0"/>
        <w:keepLines w:val="0"/>
        <w:widowControl/>
        <w:suppressLineNumbers w:val="0"/>
        <w:pBdr>
          <w:bottom w:val="none" w:color="FFFFFF" w:sz="0" w:space="0"/>
        </w:pBdr>
        <w:spacing w:before="0" w:beforeAutospacing="0" w:after="0" w:afterAutospacing="0" w:line="600" w:lineRule="exact"/>
        <w:ind w:left="0" w:right="0" w:firstLine="42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3.科技效能倍增行动。</w:t>
      </w:r>
      <w:r>
        <w:rPr>
          <w:rFonts w:hint="eastAsia" w:ascii="Times New Roman" w:hAnsi="Times New Roman" w:eastAsia="仿宋_GB2312"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积极培育壮大创新主体。聚焦特色优势产业发展，全力推动产业技术攻关、科技成果转化、创新平台建设等工作，多形式多渠道推动有资质的企业申报高新技术企业，力争申报高新技术企业1家，备案入库科技型中小企业45家。</w:t>
      </w: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全力争取科技项目落地。加强与市科技局等相关部门对接汇报，掌握最新政策信息，扣准主题、优选项目，注重申报材料打磨，切实提升项目申报成功率。</w:t>
      </w:r>
      <w:r>
        <w:rPr>
          <w:rFonts w:hint="eastAsia" w:ascii="Times New Roman" w:hAnsi="Times New Roman" w:eastAsia="仿宋_GB2312" w:cs="Times New Roman"/>
          <w:kern w:val="2"/>
          <w:sz w:val="32"/>
          <w:szCs w:val="32"/>
          <w:highlight w:val="none"/>
          <w:lang w:val="en-US" w:eastAsia="zh-CN" w:bidi="ar-SA"/>
        </w:rPr>
        <w:t>（3）</w:t>
      </w:r>
      <w:r>
        <w:rPr>
          <w:rFonts w:hint="default" w:ascii="Times New Roman" w:hAnsi="Times New Roman" w:eastAsia="仿宋_GB2312" w:cs="Times New Roman"/>
          <w:kern w:val="2"/>
          <w:sz w:val="32"/>
          <w:szCs w:val="32"/>
          <w:highlight w:val="none"/>
          <w:lang w:val="en-US" w:eastAsia="zh-CN" w:bidi="ar-SA"/>
        </w:rPr>
        <w:t>开展科技成果对接。与重庆市江津区建立成果转化对接机制，开展科技成果与技术需求对接活动2次以上。</w:t>
      </w:r>
    </w:p>
    <w:p w14:paraId="68A70B55">
      <w:pPr>
        <w:pStyle w:val="6"/>
        <w:keepNext w:val="0"/>
        <w:keepLines w:val="0"/>
        <w:widowControl/>
        <w:suppressLineNumbers w:val="0"/>
        <w:pBdr>
          <w:bottom w:val="none" w:color="FFFFFF" w:sz="0" w:space="0"/>
        </w:pBdr>
        <w:spacing w:before="0" w:beforeAutospacing="0" w:after="0" w:afterAutospacing="0" w:line="600" w:lineRule="exact"/>
        <w:ind w:left="0" w:right="0" w:firstLine="42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四</w:t>
      </w:r>
      <w:r>
        <w:rPr>
          <w:rFonts w:hint="eastAsia" w:ascii="Times New Roman" w:hAnsi="Times New Roman" w:eastAsia="仿宋_GB2312" w:cs="Times New Roman"/>
          <w:kern w:val="2"/>
          <w:sz w:val="32"/>
          <w:szCs w:val="32"/>
          <w:highlight w:val="none"/>
          <w:lang w:val="en-US" w:eastAsia="zh-CN" w:bidi="ar-SA"/>
        </w:rPr>
        <w:t>是</w:t>
      </w:r>
      <w:r>
        <w:rPr>
          <w:rFonts w:hint="default" w:ascii="Times New Roman" w:hAnsi="Times New Roman" w:eastAsia="仿宋_GB2312" w:cs="Times New Roman"/>
          <w:kern w:val="2"/>
          <w:sz w:val="32"/>
          <w:szCs w:val="32"/>
          <w:highlight w:val="none"/>
          <w:lang w:val="en-US" w:eastAsia="zh-CN" w:bidi="ar-SA"/>
        </w:rPr>
        <w:t>夯实四个保障，优化教育发展环境</w:t>
      </w:r>
    </w:p>
    <w:p w14:paraId="3DB898E2">
      <w:pPr>
        <w:pStyle w:val="6"/>
        <w:keepNext w:val="0"/>
        <w:keepLines w:val="0"/>
        <w:widowControl/>
        <w:suppressLineNumbers w:val="0"/>
        <w:pBdr>
          <w:bottom w:val="none" w:color="FFFFFF" w:sz="0" w:space="0"/>
        </w:pBdr>
        <w:spacing w:before="0" w:beforeAutospacing="0" w:after="0" w:afterAutospacing="0" w:line="600" w:lineRule="exact"/>
        <w:ind w:left="0" w:right="0" w:firstLine="42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1.强师提能，夯实人才队伍保障。</w:t>
      </w:r>
      <w:r>
        <w:rPr>
          <w:rFonts w:hint="eastAsia" w:ascii="Times New Roman" w:hAnsi="Times New Roman" w:eastAsia="仿宋_GB2312"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实施“青蓝”工程。弘扬教育家精神，发挥领军人才示范引领和辐射带动作用，升级运行机制，培养区级教育学科领军人才5名。</w:t>
      </w: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加强教师队伍培训。推动组建区教师发展中心，实施新秀教师、骨干教师培训计划，有针对性开展上岗三到五年青年教师专题培训，开展“我要上一堂好课”等活动，畅通教师专业发展通道。</w:t>
      </w:r>
      <w:r>
        <w:rPr>
          <w:rFonts w:hint="eastAsia" w:ascii="Times New Roman" w:hAnsi="Times New Roman" w:eastAsia="仿宋_GB2312" w:cs="Times New Roman"/>
          <w:kern w:val="2"/>
          <w:sz w:val="32"/>
          <w:szCs w:val="32"/>
          <w:highlight w:val="none"/>
          <w:lang w:val="en-US" w:eastAsia="zh-CN" w:bidi="ar-SA"/>
        </w:rPr>
        <w:t>（3）</w:t>
      </w:r>
      <w:r>
        <w:rPr>
          <w:rFonts w:hint="default" w:ascii="Times New Roman" w:hAnsi="Times New Roman" w:eastAsia="仿宋_GB2312" w:cs="Times New Roman"/>
          <w:kern w:val="2"/>
          <w:sz w:val="32"/>
          <w:szCs w:val="32"/>
          <w:highlight w:val="none"/>
          <w:lang w:val="en-US" w:eastAsia="zh-CN" w:bidi="ar-SA"/>
        </w:rPr>
        <w:t>抓实队伍管理。规范落实教职工上课、听课、评课、赛课、教研等制度，“四不两直”督查教育督导组和学校教职工在岗履职情况。通过公开招聘、考调等形式补充师资队伍力量，加强高水平人才引进力度，缓解教师队伍结构矛盾。</w:t>
      </w:r>
    </w:p>
    <w:p w14:paraId="10A9D478">
      <w:pPr>
        <w:pStyle w:val="6"/>
        <w:keepNext w:val="0"/>
        <w:keepLines w:val="0"/>
        <w:widowControl/>
        <w:suppressLineNumbers w:val="0"/>
        <w:pBdr>
          <w:bottom w:val="none" w:color="FFFFFF" w:sz="0" w:space="0"/>
        </w:pBdr>
        <w:spacing w:before="0" w:beforeAutospacing="0" w:after="0" w:afterAutospacing="0" w:line="600" w:lineRule="exact"/>
        <w:ind w:left="0" w:right="0" w:firstLine="42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2.争取支持，夯实发展基础保障。</w:t>
      </w:r>
      <w:r>
        <w:rPr>
          <w:rFonts w:hint="eastAsia" w:ascii="Times New Roman" w:hAnsi="Times New Roman" w:eastAsia="仿宋_GB2312"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实施城区学校扩容改造。谋划新建前锋第三小学、鑫鸿天玺幼儿园；竣工投用前锋中学建设项目二期工程，新增寄宿学位1000余个、学生餐位2000余个，开工建设前锋区垒球场、寄宿制学校提档升级等项目19个。</w:t>
      </w: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提升乡镇学校基础设施。启动学校教育装备完善改造升级工程，购置实验、实践设备及音体美器材等教学仪器设备，投入资金1200万元，配备班班通、IP数字校园广播、光环境改造、教师备课计算机、录播系统等信息化设施设备。</w:t>
      </w:r>
    </w:p>
    <w:p w14:paraId="259ABDF3">
      <w:pPr>
        <w:pStyle w:val="6"/>
        <w:keepNext w:val="0"/>
        <w:keepLines w:val="0"/>
        <w:widowControl/>
        <w:suppressLineNumbers w:val="0"/>
        <w:pBdr>
          <w:bottom w:val="none" w:color="FFFFFF" w:sz="0" w:space="0"/>
        </w:pBdr>
        <w:spacing w:before="0" w:beforeAutospacing="0" w:after="0" w:afterAutospacing="0" w:line="600" w:lineRule="exact"/>
        <w:ind w:left="0" w:right="0" w:firstLine="42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同向发力，夯实督导能效保障。进一步完善教育督导管理体制和运行机制，对标找差，瞄准义务教育优质均衡发展县创建指标进行专项督导。持续突出“规范办学”，组织责任督学开展“双减工作、五项管理、课后服务、校园安全、师德师风、关爱青少年生命健康”等经常性督导。持续推进教育督导评价体系，全面树立科学的教育评价导向，为构建高质量教育体系提供强有力的督导支撑。</w:t>
      </w:r>
    </w:p>
    <w:p w14:paraId="41486E70">
      <w:pPr>
        <w:pStyle w:val="6"/>
        <w:keepNext w:val="0"/>
        <w:keepLines w:val="0"/>
        <w:widowControl/>
        <w:suppressLineNumbers w:val="0"/>
        <w:pBdr>
          <w:bottom w:val="none" w:color="FFFFFF" w:sz="0" w:space="0"/>
        </w:pBdr>
        <w:spacing w:before="0" w:beforeAutospacing="0" w:after="0" w:afterAutospacing="0" w:line="600" w:lineRule="exact"/>
        <w:ind w:left="0" w:right="0" w:firstLine="42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4.监督指导，夯实后勤安全保障。加大对各类学生资助资金发放监管力度，确保每个孩子不因家庭经济困难而失学。加强“校园餐”监管，采取“四不两直”方式，督促问题整改见效，坚决确保食品安全、膳食经费管理规范。巩固安防建设成果，加强食品安全检查力度，深入开展校园周边环境治理和清单制管理工作，筑牢校园安全防线。提高信访稳定保障，改进维稳工作方式，实现零进京、零赴省目标。</w:t>
      </w:r>
    </w:p>
    <w:p w14:paraId="7850C398">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二、部门预算单位构成情况</w:t>
      </w:r>
    </w:p>
    <w:p w14:paraId="7B14326F">
      <w:pPr>
        <w:spacing w:line="600" w:lineRule="exact"/>
        <w:ind w:firstLine="640" w:firstLineChars="200"/>
        <w:rPr>
          <w:rFonts w:hint="default" w:ascii="Times New Roman" w:hAnsi="Times New Roman" w:eastAsia="仿宋_GB2312" w:cs="Times New Roman"/>
          <w:sz w:val="32"/>
          <w:highlight w:val="none"/>
        </w:rPr>
      </w:pPr>
      <w:r>
        <w:rPr>
          <w:rFonts w:hint="eastAsia" w:ascii="仿宋_GB2312" w:hAnsi="仿宋_GB2312" w:eastAsia="仿宋_GB2312" w:cs="仿宋_GB2312"/>
          <w:sz w:val="32"/>
          <w:szCs w:val="32"/>
          <w:highlight w:val="none"/>
          <w:lang w:eastAsia="zh-CN"/>
        </w:rPr>
        <w:t>广安市前锋区教育科技和体育局</w:t>
      </w:r>
      <w:r>
        <w:rPr>
          <w:rFonts w:hint="default" w:ascii="Times New Roman" w:hAnsi="Times New Roman" w:eastAsia="仿宋_GB2312" w:cs="Times New Roman"/>
          <w:sz w:val="32"/>
          <w:highlight w:val="none"/>
        </w:rPr>
        <w:t>下属二级预算单位</w:t>
      </w:r>
      <w:r>
        <w:rPr>
          <w:rFonts w:hint="eastAsia" w:ascii="Times New Roman" w:hAnsi="Times New Roman" w:eastAsia="仿宋_GB2312" w:cs="Times New Roman"/>
          <w:sz w:val="32"/>
          <w:highlight w:val="none"/>
          <w:lang w:val="en-US" w:eastAsia="zh-CN"/>
        </w:rPr>
        <w:t>5</w:t>
      </w:r>
      <w:r>
        <w:rPr>
          <w:rFonts w:hint="default" w:ascii="Times New Roman" w:hAnsi="Times New Roman" w:eastAsia="仿宋_GB2312" w:cs="Times New Roman"/>
          <w:sz w:val="32"/>
          <w:highlight w:val="none"/>
        </w:rPr>
        <w:t>个，其中行政单位</w:t>
      </w:r>
      <w:r>
        <w:rPr>
          <w:rFonts w:hint="eastAsia" w:ascii="Times New Roman" w:hAnsi="Times New Roman" w:eastAsia="仿宋_GB2312" w:cs="Times New Roman"/>
          <w:sz w:val="32"/>
          <w:highlight w:val="none"/>
          <w:lang w:val="en-US" w:eastAsia="zh-CN"/>
        </w:rPr>
        <w:t>1</w:t>
      </w:r>
      <w:r>
        <w:rPr>
          <w:rFonts w:hint="default" w:ascii="Times New Roman" w:hAnsi="Times New Roman" w:eastAsia="仿宋_GB2312" w:cs="Times New Roman"/>
          <w:sz w:val="32"/>
          <w:highlight w:val="none"/>
        </w:rPr>
        <w:t>个，参照公务员法管理的事业单位</w:t>
      </w:r>
      <w:r>
        <w:rPr>
          <w:rFonts w:hint="eastAsia" w:ascii="Times New Roman" w:hAnsi="Times New Roman" w:eastAsia="仿宋_GB2312" w:cs="Times New Roman"/>
          <w:sz w:val="32"/>
          <w:highlight w:val="none"/>
          <w:lang w:val="en-US" w:eastAsia="zh-CN"/>
        </w:rPr>
        <w:t>0</w:t>
      </w:r>
      <w:r>
        <w:rPr>
          <w:rFonts w:hint="default" w:ascii="Times New Roman" w:hAnsi="Times New Roman" w:eastAsia="仿宋_GB2312" w:cs="Times New Roman"/>
          <w:sz w:val="32"/>
          <w:highlight w:val="none"/>
        </w:rPr>
        <w:t>个，其他事业单位</w:t>
      </w:r>
      <w:r>
        <w:rPr>
          <w:rFonts w:hint="eastAsia" w:ascii="Times New Roman" w:hAnsi="Times New Roman" w:eastAsia="仿宋_GB2312" w:cs="Times New Roman"/>
          <w:sz w:val="32"/>
          <w:highlight w:val="none"/>
          <w:lang w:val="en-US" w:eastAsia="zh-CN"/>
        </w:rPr>
        <w:t>4</w:t>
      </w:r>
      <w:r>
        <w:rPr>
          <w:rFonts w:hint="default" w:ascii="Times New Roman" w:hAnsi="Times New Roman" w:eastAsia="仿宋_GB2312" w:cs="Times New Roman"/>
          <w:sz w:val="32"/>
          <w:highlight w:val="none"/>
        </w:rPr>
        <w:t>个。</w:t>
      </w:r>
    </w:p>
    <w:p w14:paraId="35FC923E">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广安市前锋区教育科技和体育局</w:t>
      </w:r>
      <w:r>
        <w:rPr>
          <w:rFonts w:hint="eastAsia" w:ascii="仿宋_GB2312" w:hAnsi="仿宋_GB2312" w:eastAsia="仿宋_GB2312" w:cs="仿宋_GB2312"/>
          <w:sz w:val="32"/>
          <w:szCs w:val="32"/>
          <w:highlight w:val="none"/>
        </w:rPr>
        <w:t>内设</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val="en-US" w:eastAsia="zh-CN"/>
        </w:rPr>
        <w:t>股</w:t>
      </w:r>
      <w:r>
        <w:rPr>
          <w:rFonts w:hint="eastAsia" w:ascii="仿宋_GB2312" w:hAnsi="仿宋_GB2312" w:eastAsia="仿宋_GB2312" w:cs="仿宋_GB2312"/>
          <w:sz w:val="32"/>
          <w:szCs w:val="32"/>
          <w:highlight w:val="none"/>
        </w:rPr>
        <w:t>室，主要包括：</w:t>
      </w:r>
      <w:r>
        <w:rPr>
          <w:rFonts w:hint="eastAsia" w:ascii="仿宋_GB2312" w:hAnsi="仿宋_GB2312" w:eastAsia="仿宋_GB2312" w:cs="仿宋_GB2312"/>
          <w:sz w:val="32"/>
          <w:szCs w:val="32"/>
          <w:highlight w:val="none"/>
          <w:lang w:val="en-US" w:eastAsia="zh-CN"/>
        </w:rPr>
        <w:t>办公室（秘书股）、教育督导与绩效管理室、政策法规与内部审计股、规划建设与财务管理股、政工人事股、安全与后勤管理股、教育股、科技股和体育股</w:t>
      </w:r>
      <w:r>
        <w:rPr>
          <w:rFonts w:hint="eastAsia" w:ascii="仿宋_GB2312" w:hAnsi="仿宋_GB2312" w:eastAsia="仿宋_GB2312" w:cs="仿宋_GB2312"/>
          <w:sz w:val="32"/>
          <w:szCs w:val="32"/>
          <w:highlight w:val="none"/>
        </w:rPr>
        <w:t>等。</w:t>
      </w:r>
    </w:p>
    <w:p w14:paraId="7DE339F5">
      <w:pPr>
        <w:pStyle w:val="3"/>
        <w:adjustRightInd w:val="0"/>
        <w:spacing w:before="130" w:line="580" w:lineRule="exact"/>
        <w:ind w:firstLine="672" w:firstLineChars="210"/>
        <w:rPr>
          <w:rFonts w:hint="default" w:ascii="Times New Roman" w:hAnsi="Times New Roman" w:eastAsia="仿宋_GB2312" w:cs="Times New Roman"/>
          <w:sz w:val="32"/>
          <w:szCs w:val="32"/>
          <w:highlight w:val="none"/>
          <w:lang w:val="en-US" w:eastAsia="zh-CN"/>
        </w:rPr>
      </w:pPr>
    </w:p>
    <w:p w14:paraId="701C96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F9B53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E573F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584EE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B8DEC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55E3B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0D0E6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28551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E0D51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A1B3037">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8"/>
          <w:szCs w:val="48"/>
          <w:highlight w:val="none"/>
          <w:shd w:val="clear" w:color="auto" w:fill="auto"/>
          <w:lang w:val="en-US" w:eastAsia="zh-CN" w:bidi="ar"/>
        </w:rPr>
      </w:pPr>
    </w:p>
    <w:p w14:paraId="3236D496">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outlineLvl w:val="0"/>
        <w:rPr>
          <w:rFonts w:hint="eastAsia" w:ascii="Times New Roman" w:hAnsi="Times New Roman" w:eastAsia="方正小标宋简体" w:cs="方正小标宋简体"/>
          <w:color w:val="auto"/>
          <w:kern w:val="0"/>
          <w:sz w:val="48"/>
          <w:szCs w:val="48"/>
          <w:highlight w:val="none"/>
          <w:shd w:val="clear" w:color="auto" w:fill="auto"/>
          <w:lang w:val="en-US" w:eastAsia="zh-CN" w:bidi="ar"/>
        </w:rPr>
      </w:pPr>
      <w:r>
        <w:rPr>
          <w:rFonts w:hint="eastAsia" w:ascii="Times New Roman" w:hAnsi="Times New Roman" w:eastAsia="方正小标宋简体" w:cs="方正小标宋简体"/>
          <w:color w:val="auto"/>
          <w:kern w:val="0"/>
          <w:sz w:val="48"/>
          <w:szCs w:val="48"/>
          <w:highlight w:val="none"/>
          <w:shd w:val="clear" w:color="auto" w:fill="auto"/>
          <w:lang w:val="en-US" w:eastAsia="zh-CN" w:bidi="ar"/>
        </w:rPr>
        <w:t>广安市前锋区教育科技和体育局</w:t>
      </w:r>
    </w:p>
    <w:p w14:paraId="2FCEBB17">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48"/>
          <w:szCs w:val="48"/>
          <w:highlight w:val="none"/>
          <w:shd w:val="clear" w:color="auto" w:fill="auto"/>
          <w:lang w:val="en-US" w:eastAsia="zh-CN" w:bidi="ar"/>
        </w:rPr>
        <w:t>2025年部门预算情况说明</w:t>
      </w:r>
    </w:p>
    <w:p w14:paraId="1A830B2F">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6"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p>
    <w:p w14:paraId="7B0C83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rPr>
        <w:t>说明</w:t>
      </w:r>
    </w:p>
    <w:p w14:paraId="775223F6">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按照综合预算的原则，</w:t>
      </w:r>
      <w:r>
        <w:rPr>
          <w:rFonts w:hint="eastAsia" w:ascii="Times New Roman" w:hAnsi="Times New Roman" w:eastAsia="仿宋_GB2312" w:cs="Times New Roman"/>
          <w:sz w:val="32"/>
          <w:szCs w:val="32"/>
          <w:highlight w:val="none"/>
          <w:lang w:val="en-US" w:eastAsia="zh-CN"/>
        </w:rPr>
        <w:t>区教科体局</w:t>
      </w:r>
      <w:r>
        <w:rPr>
          <w:rFonts w:hint="default" w:ascii="Times New Roman" w:hAnsi="Times New Roman" w:eastAsia="仿宋_GB2312" w:cs="Times New Roman"/>
          <w:sz w:val="32"/>
          <w:szCs w:val="32"/>
          <w:highlight w:val="none"/>
        </w:rPr>
        <w:t>所有收入和支出均纳入部门预算管理。收入包括：一般公共预算拨款收入、上年结转；支出包括：教育支出</w:t>
      </w:r>
      <w:r>
        <w:rPr>
          <w:rFonts w:hint="eastAsia" w:ascii="Times New Roman" w:hAnsi="Times New Roman" w:eastAsia="仿宋_GB2312" w:cs="Times New Roman"/>
          <w:sz w:val="32"/>
          <w:szCs w:val="32"/>
          <w:highlight w:val="none"/>
          <w:lang w:eastAsia="zh-CN"/>
        </w:rPr>
        <w:t>、科学技术支出、文化旅游体育与传媒支出、社会保障和就业支出、卫生健康支出、城乡社区支出、住房保障支出、其他支出</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区教科体局</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eastAsia="zh-CN"/>
        </w:rPr>
        <w:t>4269.81</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比</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收支预算总数</w:t>
      </w:r>
      <w:r>
        <w:rPr>
          <w:rFonts w:hint="default" w:ascii="Times New Roman" w:hAnsi="Times New Roman" w:eastAsia="仿宋_GB2312" w:cs="Times New Roman"/>
          <w:sz w:val="32"/>
          <w:szCs w:val="32"/>
          <w:highlight w:val="none"/>
          <w:u w:val="none"/>
        </w:rPr>
        <w:t>增加</w:t>
      </w:r>
      <w:r>
        <w:rPr>
          <w:rFonts w:hint="eastAsia" w:ascii="Times New Roman" w:hAnsi="Times New Roman" w:eastAsia="仿宋_GB2312" w:cs="Times New Roman"/>
          <w:sz w:val="32"/>
          <w:szCs w:val="32"/>
          <w:highlight w:val="none"/>
          <w:lang w:val="en-US" w:eastAsia="zh-CN"/>
        </w:rPr>
        <w:t>1090.78</w:t>
      </w:r>
      <w:r>
        <w:rPr>
          <w:rFonts w:hint="default"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val="en-US" w:eastAsia="zh-CN"/>
        </w:rPr>
        <w:t>上年结转增加</w:t>
      </w:r>
      <w:r>
        <w:rPr>
          <w:rFonts w:hint="default" w:ascii="Times New Roman" w:hAnsi="Times New Roman" w:eastAsia="仿宋_GB2312" w:cs="Times New Roman"/>
          <w:sz w:val="32"/>
          <w:szCs w:val="32"/>
          <w:highlight w:val="none"/>
        </w:rPr>
        <w:t>。</w:t>
      </w:r>
    </w:p>
    <w:p w14:paraId="397D90C3">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（一）收入预算情况</w:t>
      </w:r>
    </w:p>
    <w:p w14:paraId="609C96FF">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区教科体局</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收入预算</w:t>
      </w:r>
      <w:r>
        <w:rPr>
          <w:rFonts w:hint="eastAsia" w:ascii="Times New Roman" w:hAnsi="Times New Roman" w:eastAsia="仿宋_GB2312" w:cs="Times New Roman"/>
          <w:sz w:val="32"/>
          <w:szCs w:val="32"/>
          <w:highlight w:val="none"/>
          <w:lang w:eastAsia="zh-CN"/>
        </w:rPr>
        <w:t>4269.81</w:t>
      </w:r>
      <w:r>
        <w:rPr>
          <w:rFonts w:hint="default" w:ascii="Times New Roman" w:hAnsi="Times New Roman" w:eastAsia="仿宋_GB2312" w:cs="Times New Roman"/>
          <w:sz w:val="32"/>
          <w:szCs w:val="32"/>
          <w:highlight w:val="none"/>
        </w:rPr>
        <w:t>万元，其中：上年结转</w:t>
      </w:r>
      <w:r>
        <w:rPr>
          <w:rFonts w:hint="eastAsia" w:ascii="Times New Roman" w:hAnsi="Times New Roman" w:eastAsia="仿宋_GB2312" w:cs="Times New Roman"/>
          <w:sz w:val="32"/>
          <w:szCs w:val="32"/>
          <w:highlight w:val="none"/>
          <w:lang w:eastAsia="zh-CN"/>
        </w:rPr>
        <w:t>3699.33</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86.64</w:t>
      </w:r>
      <w:r>
        <w:rPr>
          <w:rFonts w:hint="default" w:ascii="Times New Roman" w:hAnsi="Times New Roman" w:eastAsia="仿宋_GB2312" w:cs="Times New Roman"/>
          <w:sz w:val="32"/>
          <w:szCs w:val="32"/>
          <w:highlight w:val="none"/>
        </w:rPr>
        <w:t>%；一般公共预算拨款收入</w:t>
      </w:r>
      <w:r>
        <w:rPr>
          <w:rFonts w:hint="eastAsia" w:ascii="Times New Roman" w:hAnsi="Times New Roman" w:eastAsia="仿宋_GB2312" w:cs="Times New Roman"/>
          <w:sz w:val="32"/>
          <w:szCs w:val="32"/>
          <w:highlight w:val="none"/>
          <w:lang w:eastAsia="zh-CN"/>
        </w:rPr>
        <w:t>570.48</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13.36</w:t>
      </w:r>
      <w:r>
        <w:rPr>
          <w:rFonts w:hint="default" w:ascii="Times New Roman" w:hAnsi="Times New Roman" w:eastAsia="仿宋_GB2312" w:cs="Times New Roman"/>
          <w:sz w:val="32"/>
          <w:szCs w:val="32"/>
          <w:highlight w:val="none"/>
        </w:rPr>
        <w:t>%。</w:t>
      </w:r>
    </w:p>
    <w:p w14:paraId="6D93B1D4">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（二）支出预算情况</w:t>
      </w:r>
    </w:p>
    <w:p w14:paraId="7C8F84E7">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eastAsia" w:ascii="Times New Roman" w:hAnsi="Times New Roman" w:eastAsia="仿宋_GB2312" w:cs="Times New Roman"/>
          <w:sz w:val="32"/>
          <w:szCs w:val="32"/>
          <w:highlight w:val="none"/>
          <w:lang w:val="en-US" w:eastAsia="zh-CN"/>
        </w:rPr>
        <w:t>区教科体局</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支出预算</w:t>
      </w:r>
      <w:r>
        <w:rPr>
          <w:rFonts w:hint="eastAsia" w:ascii="Times New Roman" w:hAnsi="Times New Roman" w:eastAsia="仿宋_GB2312" w:cs="Times New Roman"/>
          <w:sz w:val="32"/>
          <w:szCs w:val="32"/>
          <w:highlight w:val="none"/>
          <w:lang w:eastAsia="zh-CN"/>
        </w:rPr>
        <w:t>4269.81</w:t>
      </w:r>
      <w:r>
        <w:rPr>
          <w:rFonts w:hint="default"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eastAsia="zh-CN"/>
        </w:rPr>
        <w:t>570.48</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13.36</w:t>
      </w:r>
      <w:r>
        <w:rPr>
          <w:rFonts w:hint="default"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eastAsia="zh-CN"/>
        </w:rPr>
        <w:t>3699.33</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86.64</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p>
    <w:p w14:paraId="314560EA">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14:paraId="39DFC71A">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区教科体局</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eastAsia="zh-CN"/>
        </w:rPr>
        <w:t>4269.81</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default" w:ascii="Times New Roman" w:hAnsi="Times New Roman" w:eastAsia="仿宋_GB2312" w:cs="Times New Roman"/>
          <w:sz w:val="32"/>
          <w:szCs w:val="32"/>
          <w:highlight w:val="none"/>
          <w:u w:val="none"/>
        </w:rPr>
        <w:t>增加</w:t>
      </w:r>
      <w:r>
        <w:rPr>
          <w:rFonts w:hint="eastAsia" w:ascii="Times New Roman" w:hAnsi="Times New Roman" w:eastAsia="仿宋_GB2312" w:cs="Times New Roman"/>
          <w:sz w:val="32"/>
          <w:szCs w:val="32"/>
          <w:highlight w:val="none"/>
          <w:lang w:val="en-US" w:eastAsia="zh-CN"/>
        </w:rPr>
        <w:t>1090.78</w:t>
      </w:r>
      <w:r>
        <w:rPr>
          <w:rFonts w:hint="default"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val="en-US" w:eastAsia="zh-CN"/>
        </w:rPr>
        <w:t>上年结转增加</w:t>
      </w:r>
      <w:r>
        <w:rPr>
          <w:rFonts w:hint="default" w:ascii="Times New Roman" w:hAnsi="Times New Roman" w:eastAsia="仿宋_GB2312" w:cs="Times New Roman"/>
          <w:sz w:val="32"/>
          <w:szCs w:val="32"/>
          <w:highlight w:val="none"/>
        </w:rPr>
        <w:t>。</w:t>
      </w:r>
    </w:p>
    <w:p w14:paraId="3B1D5BD0">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收入包括：本年一般公共预算拨款收入</w:t>
      </w:r>
      <w:r>
        <w:rPr>
          <w:rFonts w:hint="eastAsia" w:ascii="Times New Roman" w:hAnsi="Times New Roman" w:eastAsia="仿宋_GB2312" w:cs="Times New Roman"/>
          <w:sz w:val="32"/>
          <w:szCs w:val="32"/>
          <w:highlight w:val="none"/>
          <w:lang w:eastAsia="zh-CN"/>
        </w:rPr>
        <w:t>570.48</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上</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结转</w:t>
      </w:r>
      <w:r>
        <w:rPr>
          <w:rFonts w:hint="default" w:ascii="Times New Roman" w:hAnsi="Times New Roman" w:eastAsia="仿宋_GB2312" w:cs="Times New Roman"/>
          <w:sz w:val="32"/>
          <w:szCs w:val="32"/>
          <w:highlight w:val="none"/>
        </w:rPr>
        <w:t>一般公共预算拨款收入</w:t>
      </w:r>
      <w:r>
        <w:rPr>
          <w:rFonts w:hint="eastAsia" w:ascii="Times New Roman" w:hAnsi="Times New Roman" w:eastAsia="仿宋_GB2312" w:cs="Times New Roman"/>
          <w:sz w:val="32"/>
          <w:szCs w:val="32"/>
          <w:highlight w:val="none"/>
          <w:lang w:eastAsia="zh-CN"/>
        </w:rPr>
        <w:t>2701.43</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上</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结转</w:t>
      </w:r>
      <w:r>
        <w:rPr>
          <w:rFonts w:hint="default" w:ascii="Times New Roman" w:hAnsi="Times New Roman" w:eastAsia="仿宋_GB2312" w:cs="Times New Roman"/>
          <w:sz w:val="32"/>
          <w:szCs w:val="32"/>
          <w:highlight w:val="none"/>
        </w:rPr>
        <w:t>政府性基金预算拨款收入</w:t>
      </w:r>
      <w:r>
        <w:rPr>
          <w:rFonts w:hint="eastAsia" w:ascii="Times New Roman" w:hAnsi="Times New Roman" w:eastAsia="仿宋_GB2312" w:cs="Times New Roman"/>
          <w:sz w:val="32"/>
          <w:szCs w:val="32"/>
          <w:highlight w:val="none"/>
          <w:lang w:eastAsia="zh-CN"/>
        </w:rPr>
        <w:t>997.9</w:t>
      </w:r>
      <w:r>
        <w:rPr>
          <w:rFonts w:hint="default" w:ascii="Times New Roman" w:hAnsi="Times New Roman" w:eastAsia="仿宋_GB2312" w:cs="Times New Roman"/>
          <w:sz w:val="32"/>
          <w:szCs w:val="32"/>
          <w:highlight w:val="none"/>
        </w:rPr>
        <w:t>万元；支出包括：教育支出</w:t>
      </w:r>
      <w:r>
        <w:rPr>
          <w:rFonts w:hint="eastAsia" w:ascii="Times New Roman" w:hAnsi="Times New Roman" w:eastAsia="仿宋_GB2312" w:cs="Times New Roman"/>
          <w:sz w:val="32"/>
          <w:szCs w:val="32"/>
          <w:highlight w:val="none"/>
          <w:lang w:eastAsia="zh-CN"/>
        </w:rPr>
        <w:t>2988.68</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 科学技术支出122.89</w:t>
      </w:r>
      <w:r>
        <w:rPr>
          <w:rFonts w:hint="eastAsia"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eastAsia="zh-CN"/>
        </w:rPr>
        <w:t>文化旅游体育与传媒支出48.33</w:t>
      </w:r>
      <w:r>
        <w:rPr>
          <w:rFonts w:hint="eastAsia" w:ascii="Times New Roman" w:hAnsi="Times New Roman" w:eastAsia="仿宋_GB2312" w:cs="Times New Roman"/>
          <w:sz w:val="32"/>
          <w:szCs w:val="32"/>
          <w:highlight w:val="none"/>
          <w:lang w:val="en-US" w:eastAsia="zh-CN"/>
        </w:rPr>
        <w:t>万元、社会保障和就业支出50.88万元、卫生健康支出18.65万元、 城乡社区支出61.29万元、住房保障支出42.48万元、 其他支出936.61万元。</w:t>
      </w:r>
    </w:p>
    <w:p w14:paraId="0D337EF2">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w:t>
      </w:r>
      <w:r>
        <w:rPr>
          <w:rFonts w:hint="default" w:ascii="Times New Roman" w:hAnsi="Times New Roman" w:eastAsia="黑体" w:cs="Times New Roman"/>
          <w:sz w:val="32"/>
          <w:szCs w:val="32"/>
          <w:highlight w:val="none"/>
          <w:lang w:eastAsia="zh-CN"/>
        </w:rPr>
        <w:t>当年拨款情况</w:t>
      </w:r>
      <w:r>
        <w:rPr>
          <w:rFonts w:hint="eastAsia" w:ascii="Times New Roman" w:hAnsi="Times New Roman" w:eastAsia="黑体" w:cs="Times New Roman"/>
          <w:sz w:val="32"/>
          <w:szCs w:val="32"/>
          <w:highlight w:val="none"/>
          <w:lang w:eastAsia="zh-CN"/>
        </w:rPr>
        <w:t>说明</w:t>
      </w:r>
    </w:p>
    <w:p w14:paraId="71B6259C">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（一）一般公共预算当年拨款规模变化情况</w:t>
      </w:r>
    </w:p>
    <w:p w14:paraId="20DA40FF">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区教科体局</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一般公共预算当年拨款</w:t>
      </w:r>
      <w:r>
        <w:rPr>
          <w:rFonts w:hint="eastAsia" w:ascii="Times New Roman" w:hAnsi="Times New Roman" w:eastAsia="仿宋_GB2312" w:cs="Times New Roman"/>
          <w:sz w:val="32"/>
          <w:szCs w:val="32"/>
          <w:highlight w:val="none"/>
          <w:lang w:eastAsia="zh-CN"/>
        </w:rPr>
        <w:t>570.48</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预算数</w:t>
      </w:r>
      <w:r>
        <w:rPr>
          <w:rFonts w:hint="default" w:ascii="Times New Roman" w:hAnsi="Times New Roman" w:eastAsia="仿宋_GB2312" w:cs="Times New Roman"/>
          <w:sz w:val="32"/>
          <w:szCs w:val="32"/>
          <w:highlight w:val="none"/>
          <w:u w:val="none"/>
        </w:rPr>
        <w:t>增加</w:t>
      </w:r>
      <w:r>
        <w:rPr>
          <w:rFonts w:hint="eastAsia" w:ascii="Times New Roman" w:hAnsi="Times New Roman" w:eastAsia="仿宋_GB2312" w:cs="Times New Roman"/>
          <w:sz w:val="32"/>
          <w:szCs w:val="32"/>
          <w:highlight w:val="none"/>
          <w:lang w:val="en-US" w:eastAsia="zh-CN"/>
        </w:rPr>
        <w:t>29.24</w:t>
      </w:r>
      <w:r>
        <w:rPr>
          <w:rFonts w:hint="default"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val="en-US" w:eastAsia="zh-CN"/>
        </w:rPr>
        <w:t>人员增加，工资增加</w:t>
      </w:r>
      <w:r>
        <w:rPr>
          <w:rFonts w:hint="default" w:ascii="Times New Roman" w:hAnsi="Times New Roman" w:eastAsia="仿宋_GB2312" w:cs="Times New Roman"/>
          <w:sz w:val="32"/>
          <w:szCs w:val="32"/>
          <w:highlight w:val="none"/>
        </w:rPr>
        <w:t>。</w:t>
      </w:r>
    </w:p>
    <w:p w14:paraId="6392A96F">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（二）一般公共预算当年拨款结构情况</w:t>
      </w:r>
    </w:p>
    <w:p w14:paraId="58EEE1E2">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教育支出</w:t>
      </w:r>
      <w:r>
        <w:rPr>
          <w:rFonts w:hint="eastAsia" w:ascii="Times New Roman" w:hAnsi="Times New Roman" w:eastAsia="仿宋_GB2312" w:cs="Times New Roman"/>
          <w:sz w:val="32"/>
          <w:szCs w:val="32"/>
          <w:highlight w:val="none"/>
          <w:lang w:val="en-US" w:eastAsia="zh-CN"/>
        </w:rPr>
        <w:t>458.46万元，</w:t>
      </w:r>
      <w:r>
        <w:rPr>
          <w:rFonts w:hint="default" w:ascii="Times New Roman" w:hAnsi="Times New Roman" w:eastAsia="仿宋_GB2312" w:cs="Times New Roman"/>
          <w:sz w:val="32"/>
          <w:szCs w:val="32"/>
          <w:highlight w:val="none"/>
        </w:rPr>
        <w:t>占</w:t>
      </w:r>
      <w:r>
        <w:rPr>
          <w:rFonts w:hint="eastAsia" w:ascii="Times New Roman" w:hAnsi="Times New Roman" w:eastAsia="仿宋_GB2312" w:cs="Times New Roman"/>
          <w:sz w:val="32"/>
          <w:szCs w:val="32"/>
          <w:highlight w:val="none"/>
          <w:lang w:val="en-US" w:eastAsia="zh-CN"/>
        </w:rPr>
        <w:t>80.36</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社会保障和就业支出</w:t>
      </w:r>
      <w:r>
        <w:rPr>
          <w:rFonts w:hint="eastAsia" w:ascii="Times New Roman" w:hAnsi="Times New Roman" w:eastAsia="仿宋_GB2312" w:cs="Times New Roman"/>
          <w:sz w:val="32"/>
          <w:szCs w:val="32"/>
          <w:highlight w:val="none"/>
          <w:lang w:eastAsia="zh-CN"/>
        </w:rPr>
        <w:t>50.88</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8.92</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卫生健康支出18.66</w:t>
      </w:r>
      <w:r>
        <w:rPr>
          <w:rFonts w:hint="eastAsia" w:ascii="Times New Roman" w:hAnsi="Times New Roman" w:eastAsia="仿宋_GB2312" w:cs="Times New Roman"/>
          <w:sz w:val="32"/>
          <w:szCs w:val="32"/>
          <w:highlight w:val="none"/>
          <w:lang w:val="en-US" w:eastAsia="zh-CN"/>
        </w:rPr>
        <w:t>万元，</w:t>
      </w:r>
      <w:r>
        <w:rPr>
          <w:rFonts w:hint="default" w:ascii="Times New Roman" w:hAnsi="Times New Roman" w:eastAsia="仿宋_GB2312" w:cs="Times New Roman"/>
          <w:sz w:val="32"/>
          <w:szCs w:val="32"/>
          <w:highlight w:val="none"/>
        </w:rPr>
        <w:t>占</w:t>
      </w:r>
      <w:r>
        <w:rPr>
          <w:rFonts w:hint="eastAsia" w:ascii="Times New Roman" w:hAnsi="Times New Roman" w:eastAsia="仿宋_GB2312" w:cs="Times New Roman"/>
          <w:sz w:val="32"/>
          <w:szCs w:val="32"/>
          <w:highlight w:val="none"/>
          <w:lang w:val="en-US" w:eastAsia="zh-CN"/>
        </w:rPr>
        <w:t>3.27</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color w:val="auto"/>
          <w:sz w:val="32"/>
          <w:szCs w:val="32"/>
          <w:highlight w:val="none"/>
          <w:lang w:val="en-US" w:eastAsia="zh-CN"/>
        </w:rPr>
        <w:t>住房保障支出</w:t>
      </w:r>
      <w:r>
        <w:rPr>
          <w:rFonts w:hint="eastAsia" w:ascii="Times New Roman" w:hAnsi="Times New Roman" w:eastAsia="仿宋_GB2312" w:cs="Times New Roman"/>
          <w:sz w:val="32"/>
          <w:szCs w:val="32"/>
          <w:highlight w:val="none"/>
          <w:lang w:eastAsia="zh-CN"/>
        </w:rPr>
        <w:t>42.48万元，</w:t>
      </w:r>
      <w:r>
        <w:rPr>
          <w:rFonts w:hint="default" w:ascii="Times New Roman" w:hAnsi="Times New Roman" w:eastAsia="仿宋_GB2312" w:cs="Times New Roman"/>
          <w:sz w:val="32"/>
          <w:szCs w:val="32"/>
          <w:highlight w:val="none"/>
        </w:rPr>
        <w:t>占</w:t>
      </w:r>
      <w:r>
        <w:rPr>
          <w:rFonts w:hint="eastAsia" w:ascii="Times New Roman" w:hAnsi="Times New Roman" w:eastAsia="仿宋_GB2312" w:cs="Times New Roman"/>
          <w:sz w:val="32"/>
          <w:szCs w:val="32"/>
          <w:highlight w:val="none"/>
          <w:lang w:val="en-US" w:eastAsia="zh-CN"/>
        </w:rPr>
        <w:t>7.45</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p>
    <w:p w14:paraId="1BC4F887">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（三）一般公共预算当年拨款具体使用情况</w:t>
      </w:r>
    </w:p>
    <w:p w14:paraId="00A9D94D">
      <w:pPr>
        <w:suppressAutoHyphens/>
        <w:bidi w:val="0"/>
        <w:spacing w:line="580" w:lineRule="exact"/>
        <w:ind w:firstLine="640" w:firstLineChars="200"/>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1.</w:t>
      </w:r>
      <w:r>
        <w:rPr>
          <w:rFonts w:hint="eastAsia" w:ascii="仿宋_GB2312" w:hAnsi="仿宋_GB2312" w:eastAsia="仿宋_GB2312" w:cs="仿宋_GB2312"/>
          <w:sz w:val="32"/>
          <w:szCs w:val="32"/>
          <w:highlight w:val="none"/>
          <w:lang w:eastAsia="zh-CN"/>
        </w:rPr>
        <w:t>教育支出</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eastAsia="zh-CN"/>
        </w:rPr>
        <w:t>普通教育</w:t>
      </w:r>
      <w:r>
        <w:rPr>
          <w:rFonts w:hint="eastAsia" w:ascii="仿宋_GB2312" w:hAnsi="仿宋_GB2312" w:eastAsia="仿宋_GB2312" w:cs="仿宋_GB2312"/>
          <w:sz w:val="32"/>
          <w:szCs w:val="32"/>
          <w:highlight w:val="none"/>
        </w:rPr>
        <w:t>（款）行政运行（项）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预算数为175.4</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eastAsia" w:ascii="仿宋_GB2312" w:hAnsi="仿宋_GB2312" w:eastAsia="仿宋_GB2312" w:cs="仿宋_GB2312"/>
          <w:i w:val="0"/>
          <w:iCs w:val="0"/>
          <w:caps w:val="0"/>
          <w:color w:val="333333"/>
          <w:spacing w:val="0"/>
          <w:sz w:val="32"/>
          <w:szCs w:val="32"/>
          <w:shd w:val="clear" w:fill="FFFFFF"/>
        </w:rPr>
        <w:t>主要用于</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保障</w:t>
      </w:r>
      <w:r>
        <w:rPr>
          <w:rFonts w:hint="eastAsia" w:ascii="仿宋_GB2312" w:hAnsi="仿宋_GB2312" w:eastAsia="仿宋_GB2312" w:cs="仿宋_GB2312"/>
          <w:i w:val="0"/>
          <w:iCs w:val="0"/>
          <w:caps w:val="0"/>
          <w:color w:val="333333"/>
          <w:spacing w:val="0"/>
          <w:sz w:val="32"/>
          <w:szCs w:val="32"/>
          <w:shd w:val="clear" w:fill="FFFFFF"/>
          <w:lang w:val="en-US" w:eastAsia="zh-CN"/>
        </w:rPr>
        <w:t>教科体</w:t>
      </w:r>
      <w:r>
        <w:rPr>
          <w:rFonts w:hint="eastAsia" w:ascii="仿宋_GB2312" w:hAnsi="仿宋_GB2312" w:eastAsia="仿宋_GB2312" w:cs="仿宋_GB2312"/>
          <w:i w:val="0"/>
          <w:iCs w:val="0"/>
          <w:caps w:val="0"/>
          <w:color w:val="333333"/>
          <w:spacing w:val="0"/>
          <w:sz w:val="32"/>
          <w:szCs w:val="32"/>
          <w:shd w:val="clear" w:fill="FFFFFF"/>
        </w:rPr>
        <w:t>局</w:t>
      </w:r>
      <w:r>
        <w:rPr>
          <w:rFonts w:hint="eastAsia" w:ascii="仿宋_GB2312" w:hAnsi="仿宋_GB2312" w:eastAsia="仿宋_GB2312" w:cs="仿宋_GB2312"/>
          <w:i w:val="0"/>
          <w:iCs w:val="0"/>
          <w:caps w:val="0"/>
          <w:color w:val="333333"/>
          <w:spacing w:val="0"/>
          <w:sz w:val="32"/>
          <w:szCs w:val="32"/>
          <w:shd w:val="clear" w:fill="FFFFFF"/>
          <w:lang w:val="en-US" w:eastAsia="zh-CN"/>
        </w:rPr>
        <w:t>行政人员</w:t>
      </w:r>
      <w:r>
        <w:rPr>
          <w:rFonts w:hint="eastAsia" w:ascii="仿宋_GB2312" w:hAnsi="仿宋_GB2312" w:eastAsia="仿宋_GB2312" w:cs="仿宋_GB2312"/>
          <w:i w:val="0"/>
          <w:iCs w:val="0"/>
          <w:caps w:val="0"/>
          <w:color w:val="333333"/>
          <w:spacing w:val="0"/>
          <w:sz w:val="32"/>
          <w:szCs w:val="32"/>
          <w:shd w:val="clear" w:fill="FFFFFF"/>
        </w:rPr>
        <w:t>正常运转的日常支出，包括基本工资、津贴补贴等人员经费以及办公费、印刷费、水电费、差旅费等日常公用经费。</w:t>
      </w:r>
    </w:p>
    <w:p w14:paraId="46AD2F1B">
      <w:p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rPr>
        <w:t>2.</w:t>
      </w:r>
      <w:r>
        <w:rPr>
          <w:rFonts w:hint="eastAsia" w:ascii="仿宋_GB2312" w:hAnsi="仿宋_GB2312" w:eastAsia="仿宋_GB2312" w:cs="仿宋_GB2312"/>
          <w:sz w:val="32"/>
          <w:szCs w:val="32"/>
          <w:highlight w:val="none"/>
          <w:lang w:eastAsia="zh-CN"/>
        </w:rPr>
        <w:t>教育支出</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eastAsia="zh-CN"/>
        </w:rPr>
        <w:t>普通教育</w:t>
      </w:r>
      <w:r>
        <w:rPr>
          <w:rFonts w:hint="eastAsia" w:ascii="仿宋_GB2312" w:hAnsi="仿宋_GB2312" w:eastAsia="仿宋_GB2312" w:cs="仿宋_GB2312"/>
          <w:sz w:val="32"/>
          <w:szCs w:val="32"/>
          <w:highlight w:val="none"/>
        </w:rPr>
        <w:t>（款）</w:t>
      </w:r>
      <w:r>
        <w:rPr>
          <w:rFonts w:hint="default" w:ascii="Times New Roman" w:hAnsi="Times New Roman" w:eastAsia="仿宋_GB2312" w:cs="Times New Roman"/>
          <w:sz w:val="32"/>
          <w:szCs w:val="32"/>
          <w:highlight w:val="none"/>
        </w:rPr>
        <w:t>其他教育管理事务支出（项）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预算数为283.06万元，</w:t>
      </w:r>
      <w:r>
        <w:rPr>
          <w:rFonts w:hint="eastAsia" w:ascii="仿宋_GB2312" w:hAnsi="仿宋_GB2312" w:eastAsia="仿宋_GB2312" w:cs="仿宋_GB2312"/>
          <w:i w:val="0"/>
          <w:iCs w:val="0"/>
          <w:caps w:val="0"/>
          <w:color w:val="333333"/>
          <w:spacing w:val="0"/>
          <w:sz w:val="32"/>
          <w:szCs w:val="32"/>
          <w:shd w:val="clear" w:fill="FFFFFF"/>
        </w:rPr>
        <w:t>主要用于</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保障</w:t>
      </w:r>
      <w:r>
        <w:rPr>
          <w:rFonts w:hint="eastAsia" w:ascii="仿宋_GB2312" w:hAnsi="仿宋_GB2312" w:eastAsia="仿宋_GB2312" w:cs="仿宋_GB2312"/>
          <w:i w:val="0"/>
          <w:iCs w:val="0"/>
          <w:caps w:val="0"/>
          <w:color w:val="333333"/>
          <w:spacing w:val="0"/>
          <w:sz w:val="32"/>
          <w:szCs w:val="32"/>
          <w:shd w:val="clear" w:fill="FFFFFF"/>
          <w:lang w:val="en-US" w:eastAsia="zh-CN"/>
        </w:rPr>
        <w:t>教科体</w:t>
      </w:r>
      <w:r>
        <w:rPr>
          <w:rFonts w:hint="eastAsia" w:ascii="仿宋_GB2312" w:hAnsi="仿宋_GB2312" w:eastAsia="仿宋_GB2312" w:cs="仿宋_GB2312"/>
          <w:i w:val="0"/>
          <w:iCs w:val="0"/>
          <w:caps w:val="0"/>
          <w:color w:val="333333"/>
          <w:spacing w:val="0"/>
          <w:sz w:val="32"/>
          <w:szCs w:val="32"/>
          <w:shd w:val="clear" w:fill="FFFFFF"/>
        </w:rPr>
        <w:t>局</w:t>
      </w:r>
      <w:r>
        <w:rPr>
          <w:rFonts w:hint="eastAsia" w:ascii="仿宋_GB2312" w:hAnsi="仿宋_GB2312" w:eastAsia="仿宋_GB2312" w:cs="仿宋_GB2312"/>
          <w:i w:val="0"/>
          <w:iCs w:val="0"/>
          <w:caps w:val="0"/>
          <w:color w:val="333333"/>
          <w:spacing w:val="0"/>
          <w:sz w:val="32"/>
          <w:szCs w:val="32"/>
          <w:shd w:val="clear" w:fill="FFFFFF"/>
          <w:lang w:val="en-US" w:eastAsia="zh-CN"/>
        </w:rPr>
        <w:t>事业人员</w:t>
      </w:r>
      <w:r>
        <w:rPr>
          <w:rFonts w:hint="eastAsia" w:ascii="仿宋_GB2312" w:hAnsi="仿宋_GB2312" w:eastAsia="仿宋_GB2312" w:cs="仿宋_GB2312"/>
          <w:i w:val="0"/>
          <w:iCs w:val="0"/>
          <w:caps w:val="0"/>
          <w:color w:val="333333"/>
          <w:spacing w:val="0"/>
          <w:sz w:val="32"/>
          <w:szCs w:val="32"/>
          <w:shd w:val="clear" w:fill="FFFFFF"/>
        </w:rPr>
        <w:t>正常运转的日常支出，包括基本工资、津贴补贴等人员经费以及办公费、印刷费、水电费、差旅费等日常公用经费。</w:t>
      </w:r>
    </w:p>
    <w:p w14:paraId="45782963">
      <w:p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社会保障和就业支出</w:t>
      </w:r>
      <w:r>
        <w:rPr>
          <w:rFonts w:hint="eastAsia"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行政事业单位养老支出</w:t>
      </w:r>
      <w:r>
        <w:rPr>
          <w:rFonts w:hint="eastAsia"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机关事业单位基本养老保险缴费支出</w:t>
      </w:r>
      <w:r>
        <w:rPr>
          <w:rFonts w:hint="eastAsia"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eastAsia="zh-CN"/>
        </w:rPr>
        <w:t>50.88</w:t>
      </w:r>
      <w:r>
        <w:rPr>
          <w:rFonts w:hint="default" w:ascii="Times New Roman" w:hAnsi="Times New Roman" w:eastAsia="仿宋_GB2312" w:cs="Times New Roman"/>
          <w:color w:val="auto"/>
          <w:sz w:val="32"/>
          <w:szCs w:val="32"/>
          <w:highlight w:val="none"/>
          <w:lang w:val="en-US" w:eastAsia="zh-CN"/>
        </w:rPr>
        <w:t>万元，主要用于：</w:t>
      </w:r>
      <w:r>
        <w:rPr>
          <w:rFonts w:hint="eastAsia" w:ascii="Times New Roman" w:hAnsi="Times New Roman" w:eastAsia="仿宋_GB2312" w:cs="Times New Roman"/>
          <w:color w:val="auto"/>
          <w:sz w:val="32"/>
          <w:szCs w:val="32"/>
          <w:highlight w:val="none"/>
          <w:lang w:val="en-US" w:eastAsia="zh-CN"/>
        </w:rPr>
        <w:t>单位按标准为职工缴纳机关事业基本养老保险支出。</w:t>
      </w:r>
    </w:p>
    <w:p w14:paraId="75AAA122">
      <w:p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4.卫生健康支出</w:t>
      </w:r>
      <w:r>
        <w:rPr>
          <w:rFonts w:hint="eastAsia" w:ascii="Times New Roman" w:hAnsi="Times New Roman" w:eastAsia="仿宋_GB2312" w:cs="Times New Roman"/>
          <w:color w:val="auto"/>
          <w:sz w:val="32"/>
          <w:szCs w:val="32"/>
          <w:highlight w:val="none"/>
          <w:lang w:eastAsia="zh-CN"/>
        </w:rPr>
        <w:t>（类）</w:t>
      </w:r>
      <w:r>
        <w:rPr>
          <w:rFonts w:hint="eastAsia" w:ascii="Times New Roman" w:hAnsi="Times New Roman" w:eastAsia="仿宋_GB2312" w:cs="Times New Roman"/>
          <w:color w:val="auto"/>
          <w:sz w:val="32"/>
          <w:szCs w:val="32"/>
          <w:highlight w:val="none"/>
          <w:lang w:val="en-US" w:eastAsia="zh-CN"/>
        </w:rPr>
        <w:t>行政事业单位医疗</w:t>
      </w:r>
      <w:r>
        <w:rPr>
          <w:rFonts w:hint="eastAsia" w:ascii="Times New Roman" w:hAnsi="Times New Roman" w:eastAsia="仿宋_GB2312" w:cs="Times New Roman"/>
          <w:color w:val="auto"/>
          <w:sz w:val="32"/>
          <w:szCs w:val="32"/>
          <w:highlight w:val="none"/>
          <w:lang w:eastAsia="zh-CN"/>
        </w:rPr>
        <w:t>（款）</w:t>
      </w:r>
      <w:r>
        <w:rPr>
          <w:rFonts w:hint="eastAsia" w:ascii="Times New Roman" w:hAnsi="Times New Roman" w:eastAsia="仿宋_GB2312" w:cs="Times New Roman"/>
          <w:color w:val="auto"/>
          <w:sz w:val="32"/>
          <w:szCs w:val="32"/>
          <w:highlight w:val="none"/>
          <w:lang w:val="en-US" w:eastAsia="zh-CN"/>
        </w:rPr>
        <w:t>行政单位医疗</w:t>
      </w:r>
      <w:r>
        <w:rPr>
          <w:rFonts w:hint="eastAsia" w:ascii="Times New Roman" w:hAnsi="Times New Roman" w:eastAsia="仿宋_GB2312" w:cs="Times New Roman"/>
          <w:color w:val="auto"/>
          <w:sz w:val="32"/>
          <w:szCs w:val="32"/>
          <w:highlight w:val="none"/>
          <w:lang w:eastAsia="zh-CN"/>
        </w:rPr>
        <w:t>（项）202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年预算数为</w:t>
      </w:r>
      <w:r>
        <w:rPr>
          <w:rFonts w:hint="eastAsia" w:ascii="Times New Roman" w:hAnsi="Times New Roman" w:eastAsia="仿宋_GB2312" w:cs="Times New Roman"/>
          <w:color w:val="auto"/>
          <w:sz w:val="32"/>
          <w:szCs w:val="32"/>
          <w:highlight w:val="none"/>
          <w:lang w:eastAsia="zh-CN"/>
        </w:rPr>
        <w:t>7.17</w:t>
      </w:r>
      <w:r>
        <w:rPr>
          <w:rFonts w:hint="default" w:ascii="Times New Roman" w:hAnsi="Times New Roman" w:eastAsia="仿宋_GB2312" w:cs="Times New Roman"/>
          <w:color w:val="auto"/>
          <w:sz w:val="32"/>
          <w:szCs w:val="32"/>
          <w:highlight w:val="none"/>
          <w:lang w:eastAsia="zh-CN"/>
        </w:rPr>
        <w:t>万元，</w:t>
      </w:r>
      <w:r>
        <w:rPr>
          <w:rFonts w:hint="eastAsia" w:ascii="Times New Roman" w:hAnsi="Times New Roman" w:eastAsia="仿宋_GB2312" w:cs="Times New Roman"/>
          <w:color w:val="auto"/>
          <w:sz w:val="32"/>
          <w:szCs w:val="32"/>
          <w:highlight w:val="none"/>
          <w:lang w:eastAsia="zh-CN"/>
        </w:rPr>
        <w:t>主要用于：</w:t>
      </w:r>
      <w:r>
        <w:rPr>
          <w:rFonts w:hint="eastAsia" w:ascii="Times New Roman" w:hAnsi="Times New Roman" w:eastAsia="仿宋_GB2312" w:cs="Times New Roman"/>
          <w:color w:val="auto"/>
          <w:sz w:val="32"/>
          <w:szCs w:val="32"/>
          <w:highlight w:val="none"/>
          <w:lang w:val="en-US" w:eastAsia="zh-CN"/>
        </w:rPr>
        <w:t>单位按标准为单位行政人员缴纳的基本医疗保险及大病医疗保险支出。</w:t>
      </w:r>
    </w:p>
    <w:p w14:paraId="03310A8B">
      <w:p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5.卫生健康支出</w:t>
      </w:r>
      <w:r>
        <w:rPr>
          <w:rFonts w:hint="eastAsia" w:ascii="Times New Roman" w:hAnsi="Times New Roman" w:eastAsia="仿宋_GB2312" w:cs="Times New Roman"/>
          <w:color w:val="auto"/>
          <w:sz w:val="32"/>
          <w:szCs w:val="32"/>
          <w:highlight w:val="none"/>
          <w:lang w:eastAsia="zh-CN"/>
        </w:rPr>
        <w:t>（类）</w:t>
      </w:r>
      <w:r>
        <w:rPr>
          <w:rFonts w:hint="eastAsia" w:ascii="Times New Roman" w:hAnsi="Times New Roman" w:eastAsia="仿宋_GB2312" w:cs="Times New Roman"/>
          <w:color w:val="auto"/>
          <w:sz w:val="32"/>
          <w:szCs w:val="32"/>
          <w:highlight w:val="none"/>
          <w:lang w:val="en-US" w:eastAsia="zh-CN"/>
        </w:rPr>
        <w:t>行政事业单位医疗</w:t>
      </w:r>
      <w:r>
        <w:rPr>
          <w:rFonts w:hint="eastAsia" w:ascii="Times New Roman" w:hAnsi="Times New Roman" w:eastAsia="仿宋_GB2312" w:cs="Times New Roman"/>
          <w:color w:val="auto"/>
          <w:sz w:val="32"/>
          <w:szCs w:val="32"/>
          <w:highlight w:val="none"/>
          <w:lang w:eastAsia="zh-CN"/>
        </w:rPr>
        <w:t>（款）</w:t>
      </w:r>
      <w:r>
        <w:rPr>
          <w:rFonts w:hint="eastAsia" w:ascii="Times New Roman" w:hAnsi="Times New Roman" w:eastAsia="仿宋_GB2312" w:cs="Times New Roman"/>
          <w:color w:val="auto"/>
          <w:sz w:val="32"/>
          <w:szCs w:val="32"/>
          <w:highlight w:val="none"/>
          <w:lang w:val="en-US" w:eastAsia="zh-CN"/>
        </w:rPr>
        <w:t>事业单位医疗</w:t>
      </w:r>
      <w:r>
        <w:rPr>
          <w:rFonts w:hint="eastAsia" w:ascii="Times New Roman" w:hAnsi="Times New Roman" w:eastAsia="仿宋_GB2312" w:cs="Times New Roman"/>
          <w:color w:val="auto"/>
          <w:sz w:val="32"/>
          <w:szCs w:val="32"/>
          <w:highlight w:val="none"/>
          <w:lang w:eastAsia="zh-CN"/>
        </w:rPr>
        <w:t>（项）202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年预算数为</w:t>
      </w:r>
      <w:r>
        <w:rPr>
          <w:rFonts w:hint="eastAsia" w:ascii="Times New Roman" w:hAnsi="Times New Roman" w:eastAsia="仿宋_GB2312" w:cs="Times New Roman"/>
          <w:color w:val="auto"/>
          <w:sz w:val="32"/>
          <w:szCs w:val="32"/>
          <w:highlight w:val="none"/>
          <w:lang w:eastAsia="zh-CN"/>
        </w:rPr>
        <w:t>9.28</w:t>
      </w:r>
      <w:r>
        <w:rPr>
          <w:rFonts w:hint="default" w:ascii="Times New Roman" w:hAnsi="Times New Roman" w:eastAsia="仿宋_GB2312" w:cs="Times New Roman"/>
          <w:color w:val="auto"/>
          <w:sz w:val="32"/>
          <w:szCs w:val="32"/>
          <w:highlight w:val="none"/>
          <w:lang w:eastAsia="zh-CN"/>
        </w:rPr>
        <w:t>万元，</w:t>
      </w:r>
      <w:r>
        <w:rPr>
          <w:rFonts w:hint="eastAsia" w:ascii="Times New Roman" w:hAnsi="Times New Roman" w:eastAsia="仿宋_GB2312" w:cs="Times New Roman"/>
          <w:color w:val="auto"/>
          <w:sz w:val="32"/>
          <w:szCs w:val="32"/>
          <w:highlight w:val="none"/>
          <w:lang w:eastAsia="zh-CN"/>
        </w:rPr>
        <w:t>主要用于：</w:t>
      </w:r>
      <w:r>
        <w:rPr>
          <w:rFonts w:hint="eastAsia" w:ascii="Times New Roman" w:hAnsi="Times New Roman" w:eastAsia="仿宋_GB2312" w:cs="Times New Roman"/>
          <w:color w:val="auto"/>
          <w:sz w:val="32"/>
          <w:szCs w:val="32"/>
          <w:highlight w:val="none"/>
          <w:lang w:val="en-US" w:eastAsia="zh-CN"/>
        </w:rPr>
        <w:t>单位按标准为单位事业人员缴纳的基本医疗保险及大病医疗保险支出。</w:t>
      </w:r>
    </w:p>
    <w:p w14:paraId="072D159E">
      <w:pPr>
        <w:numPr>
          <w:ilvl w:val="0"/>
          <w:numId w:val="0"/>
        </w:num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6.卫生健康支出</w:t>
      </w:r>
      <w:r>
        <w:rPr>
          <w:rFonts w:hint="eastAsia" w:ascii="Times New Roman" w:hAnsi="Times New Roman" w:eastAsia="仿宋_GB2312" w:cs="Times New Roman"/>
          <w:color w:val="auto"/>
          <w:sz w:val="32"/>
          <w:szCs w:val="32"/>
          <w:highlight w:val="none"/>
          <w:lang w:eastAsia="zh-CN"/>
        </w:rPr>
        <w:t>（类）</w:t>
      </w:r>
      <w:r>
        <w:rPr>
          <w:rFonts w:hint="eastAsia" w:ascii="Times New Roman" w:hAnsi="Times New Roman" w:eastAsia="仿宋_GB2312" w:cs="Times New Roman"/>
          <w:color w:val="auto"/>
          <w:sz w:val="32"/>
          <w:szCs w:val="32"/>
          <w:highlight w:val="none"/>
          <w:lang w:val="en-US" w:eastAsia="zh-CN"/>
        </w:rPr>
        <w:t>行政事业单位医疗</w:t>
      </w:r>
      <w:r>
        <w:rPr>
          <w:rFonts w:hint="eastAsia" w:ascii="Times New Roman" w:hAnsi="Times New Roman" w:eastAsia="仿宋_GB2312" w:cs="Times New Roman"/>
          <w:color w:val="auto"/>
          <w:sz w:val="32"/>
          <w:szCs w:val="32"/>
          <w:highlight w:val="none"/>
          <w:lang w:eastAsia="zh-CN"/>
        </w:rPr>
        <w:t>（款）</w:t>
      </w:r>
      <w:r>
        <w:rPr>
          <w:rFonts w:hint="eastAsia" w:ascii="Times New Roman" w:hAnsi="Times New Roman" w:eastAsia="仿宋_GB2312" w:cs="Times New Roman"/>
          <w:color w:val="auto"/>
          <w:sz w:val="32"/>
          <w:szCs w:val="32"/>
          <w:highlight w:val="none"/>
          <w:lang w:val="en-US" w:eastAsia="zh-CN"/>
        </w:rPr>
        <w:t>公务员医疗补助</w:t>
      </w:r>
      <w:r>
        <w:rPr>
          <w:rFonts w:hint="eastAsia" w:ascii="Times New Roman" w:hAnsi="Times New Roman" w:eastAsia="仿宋_GB2312" w:cs="Times New Roman"/>
          <w:color w:val="auto"/>
          <w:sz w:val="32"/>
          <w:szCs w:val="32"/>
          <w:highlight w:val="none"/>
          <w:lang w:eastAsia="zh-CN"/>
        </w:rPr>
        <w:t>（项）202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eastAsia="zh-CN"/>
        </w:rPr>
        <w:t>年预算数为2.21万元，主要用于：</w:t>
      </w:r>
      <w:r>
        <w:rPr>
          <w:rFonts w:hint="eastAsia" w:ascii="Times New Roman" w:hAnsi="Times New Roman" w:eastAsia="仿宋_GB2312" w:cs="Times New Roman"/>
          <w:color w:val="auto"/>
          <w:sz w:val="32"/>
          <w:szCs w:val="32"/>
          <w:highlight w:val="none"/>
          <w:lang w:val="en-US" w:eastAsia="zh-CN"/>
        </w:rPr>
        <w:t>反映财政部门安排的公务员医疗补助经费。</w:t>
      </w:r>
    </w:p>
    <w:p w14:paraId="01D82311">
      <w:p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7.住房保障支出</w:t>
      </w:r>
      <w:r>
        <w:rPr>
          <w:rFonts w:hint="eastAsia"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行政事业单位住房保障</w:t>
      </w:r>
      <w:r>
        <w:rPr>
          <w:rFonts w:hint="eastAsia"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val="en-US" w:eastAsia="zh-CN"/>
        </w:rPr>
        <w:t>住房公积金</w:t>
      </w:r>
      <w:r>
        <w:rPr>
          <w:rFonts w:hint="eastAsia"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rPr>
        <w:t>预算数为</w:t>
      </w:r>
      <w:r>
        <w:rPr>
          <w:rFonts w:hint="eastAsia" w:ascii="Times New Roman" w:hAnsi="Times New Roman" w:eastAsia="仿宋_GB2312" w:cs="Times New Roman"/>
          <w:color w:val="auto"/>
          <w:sz w:val="32"/>
          <w:szCs w:val="32"/>
          <w:highlight w:val="none"/>
          <w:lang w:eastAsia="zh-CN"/>
        </w:rPr>
        <w:t>42.48</w:t>
      </w:r>
      <w:r>
        <w:rPr>
          <w:rFonts w:hint="eastAsia" w:ascii="Times New Roman" w:hAnsi="Times New Roman" w:eastAsia="仿宋_GB2312" w:cs="Times New Roman"/>
          <w:color w:val="auto"/>
          <w:sz w:val="32"/>
          <w:szCs w:val="32"/>
          <w:highlight w:val="none"/>
        </w:rPr>
        <w:t>万元，主要用于：</w:t>
      </w:r>
      <w:r>
        <w:rPr>
          <w:rFonts w:hint="eastAsia" w:ascii="Times New Roman" w:hAnsi="Times New Roman" w:eastAsia="仿宋_GB2312" w:cs="Times New Roman"/>
          <w:color w:val="auto"/>
          <w:sz w:val="32"/>
          <w:szCs w:val="32"/>
          <w:highlight w:val="none"/>
          <w:lang w:val="en-US" w:eastAsia="zh-CN"/>
        </w:rPr>
        <w:t>单位按标准为职工缴纳的住房公积金支出。</w:t>
      </w:r>
    </w:p>
    <w:p w14:paraId="5DF41C38">
      <w:pPr>
        <w:numPr>
          <w:ilvl w:val="0"/>
          <w:numId w:val="0"/>
        </w:num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p>
    <w:p w14:paraId="56B43CFC">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区教科体局</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一般公共预算基本支出</w:t>
      </w:r>
      <w:r>
        <w:rPr>
          <w:rFonts w:hint="eastAsia" w:ascii="Times New Roman" w:hAnsi="Times New Roman" w:eastAsia="仿宋_GB2312" w:cs="Times New Roman"/>
          <w:sz w:val="32"/>
          <w:szCs w:val="32"/>
          <w:highlight w:val="none"/>
          <w:lang w:eastAsia="zh-CN"/>
        </w:rPr>
        <w:t>570.48</w:t>
      </w:r>
      <w:r>
        <w:rPr>
          <w:rFonts w:hint="default" w:ascii="Times New Roman" w:hAnsi="Times New Roman" w:eastAsia="仿宋_GB2312" w:cs="Times New Roman"/>
          <w:sz w:val="32"/>
          <w:szCs w:val="32"/>
          <w:highlight w:val="none"/>
        </w:rPr>
        <w:t>万元，其中：</w:t>
      </w:r>
    </w:p>
    <w:p w14:paraId="0611F97D">
      <w:pPr>
        <w:numPr>
          <w:ilvl w:val="0"/>
          <w:numId w:val="0"/>
        </w:numPr>
        <w:suppressAutoHyphens/>
        <w:bidi w:val="0"/>
        <w:spacing w:line="580" w:lineRule="exact"/>
        <w:ind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人员经费</w:t>
      </w:r>
      <w:r>
        <w:rPr>
          <w:rFonts w:hint="eastAsia" w:ascii="Times New Roman" w:hAnsi="Times New Roman" w:eastAsia="仿宋_GB2312" w:cs="Times New Roman"/>
          <w:sz w:val="32"/>
          <w:szCs w:val="32"/>
          <w:highlight w:val="none"/>
          <w:lang w:eastAsia="zh-CN"/>
        </w:rPr>
        <w:t>528.7</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万元，主要包括：</w:t>
      </w:r>
      <w:r>
        <w:rPr>
          <w:rFonts w:hint="eastAsia" w:ascii="Times New Roman" w:hAnsi="Times New Roman" w:eastAsia="仿宋_GB2312" w:cs="Times New Roman"/>
          <w:sz w:val="32"/>
          <w:szCs w:val="32"/>
          <w:highlight w:val="none"/>
          <w:lang w:eastAsia="zh-CN"/>
        </w:rPr>
        <w:t>基本工资、津贴补贴、奖金、绩效工资、机关事业单位基本养老保险缴费、职工基本医疗保险缴费、其他社会保障缴费、公务员医疗补助缴费、住房公积金、生活补助、奖励金、医疗费补助、其他对个人和家庭的补助。</w:t>
      </w:r>
      <w:r>
        <w:rPr>
          <w:rFonts w:hint="eastAsia" w:ascii="Times New Roman" w:hAnsi="Times New Roman" w:eastAsia="仿宋_GB2312" w:cs="Times New Roman"/>
          <w:sz w:val="32"/>
          <w:szCs w:val="32"/>
          <w:highlight w:val="none"/>
          <w:lang w:val="en-US" w:eastAsia="zh-CN"/>
        </w:rPr>
        <w:t xml:space="preserve"> </w:t>
      </w:r>
    </w:p>
    <w:p w14:paraId="7DCF70EF">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公用经费</w:t>
      </w:r>
      <w:r>
        <w:rPr>
          <w:rFonts w:hint="eastAsia" w:ascii="Times New Roman" w:hAnsi="Times New Roman" w:eastAsia="仿宋_GB2312" w:cs="Times New Roman"/>
          <w:sz w:val="32"/>
          <w:szCs w:val="32"/>
          <w:highlight w:val="none"/>
          <w:lang w:eastAsia="zh-CN"/>
        </w:rPr>
        <w:t>41.78</w:t>
      </w:r>
      <w:r>
        <w:rPr>
          <w:rFonts w:hint="default" w:ascii="Times New Roman" w:hAnsi="Times New Roman" w:eastAsia="仿宋_GB2312" w:cs="Times New Roman"/>
          <w:sz w:val="32"/>
          <w:szCs w:val="32"/>
          <w:highlight w:val="none"/>
        </w:rPr>
        <w:t>万元，主要包括：</w:t>
      </w:r>
      <w:r>
        <w:rPr>
          <w:rFonts w:hint="eastAsia" w:ascii="仿宋_GB2312" w:hAnsi="仿宋_GB2312" w:eastAsia="仿宋_GB2312" w:cs="仿宋_GB2312"/>
          <w:sz w:val="32"/>
          <w:szCs w:val="32"/>
          <w:highlight w:val="none"/>
        </w:rPr>
        <w:t>办公费、印刷费、</w:t>
      </w:r>
      <w:r>
        <w:rPr>
          <w:rFonts w:hint="eastAsia" w:ascii="仿宋_GB2312" w:hAnsi="仿宋_GB2312" w:eastAsia="仿宋_GB2312" w:cs="仿宋_GB2312"/>
          <w:sz w:val="32"/>
          <w:szCs w:val="32"/>
          <w:highlight w:val="none"/>
          <w:lang w:val="en-US" w:eastAsia="zh-CN"/>
        </w:rPr>
        <w:t>邮电</w:t>
      </w:r>
      <w:r>
        <w:rPr>
          <w:rFonts w:hint="eastAsia" w:ascii="仿宋_GB2312" w:hAnsi="仿宋_GB2312" w:eastAsia="仿宋_GB2312" w:cs="仿宋_GB2312"/>
          <w:sz w:val="32"/>
          <w:szCs w:val="32"/>
          <w:highlight w:val="none"/>
        </w:rPr>
        <w:t>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水费、电费、差旅费、维修（护）费、培训费、  公务接待费、福利费、工会经费、劳务费、其他交通费、  其他商品和服务支出。</w:t>
      </w:r>
    </w:p>
    <w:p w14:paraId="580B1730">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“三公”经费财政拨款预算安排情况说明</w:t>
      </w:r>
    </w:p>
    <w:p w14:paraId="5A395CA7">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代市小学</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“三公”经费财政拨款预算数</w:t>
      </w:r>
      <w:r>
        <w:rPr>
          <w:rFonts w:hint="eastAsia" w:ascii="Times New Roman" w:hAnsi="Times New Roman" w:eastAsia="仿宋_GB2312" w:cs="Times New Roman"/>
          <w:sz w:val="32"/>
          <w:szCs w:val="32"/>
          <w:highlight w:val="none"/>
          <w:lang w:val="en-US" w:eastAsia="zh-CN"/>
        </w:rPr>
        <w:t>0.48</w:t>
      </w:r>
      <w:r>
        <w:rPr>
          <w:rFonts w:hint="default" w:ascii="Times New Roman" w:hAnsi="Times New Roman" w:eastAsia="仿宋_GB2312" w:cs="Times New Roman"/>
          <w:sz w:val="32"/>
          <w:szCs w:val="32"/>
          <w:highlight w:val="none"/>
        </w:rPr>
        <w:t>万元，其中：公务接待费</w:t>
      </w:r>
      <w:r>
        <w:rPr>
          <w:rFonts w:hint="eastAsia" w:ascii="Times New Roman" w:hAnsi="Times New Roman" w:eastAsia="仿宋_GB2312" w:cs="Times New Roman"/>
          <w:sz w:val="32"/>
          <w:szCs w:val="32"/>
          <w:highlight w:val="none"/>
          <w:lang w:val="en-US" w:eastAsia="zh-CN"/>
        </w:rPr>
        <w:t>0.48</w:t>
      </w:r>
      <w:r>
        <w:rPr>
          <w:rFonts w:hint="default" w:ascii="Times New Roman" w:hAnsi="Times New Roman" w:eastAsia="仿宋_GB2312" w:cs="Times New Roman"/>
          <w:sz w:val="32"/>
          <w:szCs w:val="32"/>
          <w:highlight w:val="none"/>
        </w:rPr>
        <w:t>万元，公务用车购置及运行维护费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，因公出国（境）经费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14:paraId="2BBD8279">
      <w:pPr>
        <w:suppressAutoHyphens/>
        <w:bidi w:val="0"/>
        <w:spacing w:line="580" w:lineRule="exact"/>
        <w:ind w:firstLine="643"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）因公出国（境）经费</w:t>
      </w:r>
      <w:r>
        <w:rPr>
          <w:rFonts w:hint="default"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2024年</w:t>
      </w:r>
      <w:r>
        <w:rPr>
          <w:rFonts w:hint="default" w:ascii="Times New Roman" w:hAnsi="Times New Roman" w:eastAsia="楷体_GB2312" w:cs="Times New Roman"/>
          <w:b/>
          <w:sz w:val="32"/>
          <w:szCs w:val="32"/>
          <w:highlight w:val="none"/>
          <w:u w:val="none"/>
        </w:rPr>
        <w:t>预算持平</w:t>
      </w:r>
      <w:r>
        <w:rPr>
          <w:rFonts w:hint="default" w:ascii="Times New Roman" w:hAnsi="Times New Roman" w:eastAsia="楷体_GB2312" w:cs="Times New Roman"/>
          <w:b/>
          <w:sz w:val="32"/>
          <w:szCs w:val="32"/>
          <w:highlight w:val="none"/>
        </w:rPr>
        <w:t>。</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无因公出国（境）需求</w:t>
      </w:r>
      <w:r>
        <w:rPr>
          <w:rFonts w:hint="default" w:ascii="Times New Roman" w:hAnsi="Times New Roman" w:eastAsia="仿宋_GB2312" w:cs="Times New Roman"/>
          <w:sz w:val="32"/>
          <w:szCs w:val="32"/>
          <w:highlight w:val="none"/>
        </w:rPr>
        <w:t>。</w:t>
      </w:r>
    </w:p>
    <w:p w14:paraId="24D8DE15">
      <w:pPr>
        <w:suppressAutoHyphens/>
        <w:bidi w:val="0"/>
        <w:spacing w:line="580" w:lineRule="exact"/>
        <w:ind w:firstLine="640"/>
        <w:rPr>
          <w:rFonts w:hint="default" w:ascii="Times New Roman" w:hAnsi="Times New Roman" w:eastAsia="黑体"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）公务接待费较</w:t>
      </w:r>
      <w:r>
        <w:rPr>
          <w:rFonts w:hint="eastAsia" w:ascii="Times New Roman" w:hAnsi="Times New Roman" w:eastAsia="楷体_GB2312" w:cs="Times New Roman"/>
          <w:b/>
          <w:sz w:val="32"/>
          <w:szCs w:val="32"/>
          <w:highlight w:val="none"/>
          <w:lang w:eastAsia="zh-CN"/>
        </w:rPr>
        <w:t>202</w:t>
      </w:r>
      <w:r>
        <w:rPr>
          <w:rFonts w:hint="eastAsia" w:ascii="Times New Roman" w:hAnsi="Times New Roman" w:eastAsia="楷体_GB2312" w:cs="Times New Roman"/>
          <w:b/>
          <w:sz w:val="32"/>
          <w:szCs w:val="32"/>
          <w:highlight w:val="none"/>
          <w:lang w:val="en-US" w:eastAsia="zh-CN"/>
        </w:rPr>
        <w:t>4</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预算</w:t>
      </w:r>
      <w:r>
        <w:rPr>
          <w:rFonts w:hint="default" w:ascii="Times New Roman" w:hAnsi="Times New Roman" w:eastAsia="楷体_GB2312" w:cs="Times New Roman"/>
          <w:b/>
          <w:sz w:val="32"/>
          <w:szCs w:val="32"/>
          <w:highlight w:val="none"/>
          <w:u w:val="none"/>
        </w:rPr>
        <w:t>下降</w:t>
      </w:r>
      <w:r>
        <w:rPr>
          <w:rFonts w:hint="eastAsia" w:ascii="Times New Roman" w:hAnsi="Times New Roman" w:eastAsia="仿宋_GB2312" w:cs="Times New Roman"/>
          <w:b/>
          <w:sz w:val="32"/>
          <w:szCs w:val="32"/>
          <w:highlight w:val="none"/>
          <w:lang w:val="en-US" w:eastAsia="zh-CN"/>
        </w:rPr>
        <w:t>2.04</w:t>
      </w:r>
      <w:r>
        <w:rPr>
          <w:rFonts w:hint="default" w:ascii="Times New Roman" w:hAnsi="Times New Roman" w:eastAsia="楷体_GB2312" w:cs="Times New Roman"/>
          <w:b/>
          <w:sz w:val="32"/>
          <w:szCs w:val="32"/>
          <w:highlight w:val="none"/>
        </w:rPr>
        <w:t>%。</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eastAsia="zh-CN"/>
        </w:rPr>
        <w:t>厉行节约</w:t>
      </w:r>
      <w:r>
        <w:rPr>
          <w:rFonts w:hint="default" w:ascii="Times New Roman" w:hAnsi="Times New Roman" w:eastAsia="仿宋_GB2312" w:cs="Times New Roman"/>
          <w:sz w:val="32"/>
          <w:szCs w:val="32"/>
          <w:highlight w:val="none"/>
        </w:rPr>
        <w:t>。</w:t>
      </w:r>
    </w:p>
    <w:p w14:paraId="453B6A0C">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公务接待费计划用于</w:t>
      </w:r>
      <w:r>
        <w:rPr>
          <w:rFonts w:hint="eastAsia" w:ascii="仿宋_GB2312" w:hAnsi="仿宋_GB2312" w:eastAsia="仿宋_GB2312" w:cs="仿宋_GB2312"/>
          <w:sz w:val="32"/>
          <w:szCs w:val="32"/>
          <w:highlight w:val="none"/>
          <w:lang w:val="en-US" w:eastAsia="zh-CN"/>
        </w:rPr>
        <w:t>执行公务、考察调研、检查指导等公务活动开支的用餐费。</w:t>
      </w:r>
    </w:p>
    <w:p w14:paraId="4AD871B1">
      <w:pPr>
        <w:suppressAutoHyphens/>
        <w:bidi w:val="0"/>
        <w:spacing w:line="580" w:lineRule="exact"/>
        <w:ind w:firstLine="643"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）公务用车购置及运行维护费</w:t>
      </w:r>
      <w:r>
        <w:rPr>
          <w:rFonts w:hint="default"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2024年</w:t>
      </w:r>
      <w:r>
        <w:rPr>
          <w:rFonts w:hint="default" w:ascii="Times New Roman" w:hAnsi="Times New Roman" w:eastAsia="楷体_GB2312" w:cs="Times New Roman"/>
          <w:b/>
          <w:sz w:val="32"/>
          <w:szCs w:val="32"/>
          <w:highlight w:val="none"/>
          <w:u w:val="none"/>
        </w:rPr>
        <w:t>预算持平</w:t>
      </w:r>
      <w:r>
        <w:rPr>
          <w:rFonts w:hint="default" w:ascii="Times New Roman" w:hAnsi="Times New Roman" w:eastAsia="楷体_GB2312" w:cs="Times New Roman"/>
          <w:b/>
          <w:sz w:val="32"/>
          <w:szCs w:val="32"/>
          <w:highlight w:val="none"/>
        </w:rPr>
        <w:t>。</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无公务用车需求</w:t>
      </w:r>
      <w:r>
        <w:rPr>
          <w:rFonts w:hint="default" w:ascii="Times New Roman" w:hAnsi="Times New Roman" w:eastAsia="仿宋_GB2312" w:cs="Times New Roman"/>
          <w:sz w:val="32"/>
          <w:szCs w:val="32"/>
          <w:highlight w:val="none"/>
        </w:rPr>
        <w:t>。</w:t>
      </w:r>
    </w:p>
    <w:p w14:paraId="09868BF6">
      <w:pPr>
        <w:suppressAutoHyphens/>
        <w:bidi w:val="0"/>
        <w:spacing w:line="58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单位现有公务用车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p>
    <w:p w14:paraId="08B1BF85">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安排公务用车购置费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拟</w:t>
      </w:r>
      <w:r>
        <w:rPr>
          <w:rFonts w:hint="default" w:ascii="Times New Roman" w:hAnsi="Times New Roman" w:eastAsia="仿宋_GB2312" w:cs="Times New Roman"/>
          <w:sz w:val="32"/>
          <w:szCs w:val="32"/>
          <w:highlight w:val="none"/>
        </w:rPr>
        <w:t>购置公务用车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p>
    <w:p w14:paraId="171D8993">
      <w:pPr>
        <w:suppressAutoHyphens/>
        <w:bidi w:val="0"/>
        <w:spacing w:line="580" w:lineRule="exact"/>
        <w:ind w:firstLine="64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安排公务用车运行维护费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万元。用于</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辆公务用车</w:t>
      </w:r>
      <w:r>
        <w:rPr>
          <w:rFonts w:hint="default" w:ascii="Times New Roman" w:hAnsi="Times New Roman" w:eastAsia="仿宋_GB2312" w:cs="Times New Roman"/>
          <w:sz w:val="32"/>
          <w:szCs w:val="32"/>
          <w:highlight w:val="none"/>
          <w:u w:val="none"/>
        </w:rPr>
        <w:t>燃油、维修、保险</w:t>
      </w:r>
      <w:r>
        <w:rPr>
          <w:rFonts w:hint="default" w:ascii="Times New Roman" w:hAnsi="Times New Roman" w:eastAsia="仿宋_GB2312" w:cs="Times New Roman"/>
          <w:sz w:val="32"/>
          <w:szCs w:val="32"/>
          <w:highlight w:val="none"/>
        </w:rPr>
        <w:t>等方面支出</w:t>
      </w:r>
      <w:r>
        <w:rPr>
          <w:rFonts w:hint="eastAsia" w:ascii="Times New Roman" w:hAnsi="Times New Roman" w:eastAsia="仿宋_GB2312" w:cs="Times New Roman"/>
          <w:sz w:val="32"/>
          <w:szCs w:val="32"/>
          <w:highlight w:val="none"/>
          <w:lang w:eastAsia="zh-CN"/>
        </w:rPr>
        <w:t>。</w:t>
      </w:r>
    </w:p>
    <w:p w14:paraId="6C0DDC71">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p>
    <w:p w14:paraId="2C3056FE">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区教科体局</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政府性基金预算支出</w:t>
      </w:r>
      <w:r>
        <w:rPr>
          <w:rFonts w:hint="eastAsia" w:ascii="Times New Roman" w:hAnsi="Times New Roman" w:eastAsia="仿宋_GB2312" w:cs="Times New Roman"/>
          <w:sz w:val="32"/>
          <w:szCs w:val="32"/>
          <w:highlight w:val="none"/>
          <w:lang w:eastAsia="zh-CN"/>
        </w:rPr>
        <w:t>997.9</w:t>
      </w:r>
      <w:r>
        <w:rPr>
          <w:rFonts w:hint="default"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万元，项目支出</w:t>
      </w:r>
      <w:r>
        <w:rPr>
          <w:rFonts w:hint="eastAsia" w:ascii="Times New Roman" w:hAnsi="Times New Roman" w:eastAsia="仿宋_GB2312" w:cs="Times New Roman"/>
          <w:sz w:val="32"/>
          <w:szCs w:val="32"/>
          <w:highlight w:val="none"/>
          <w:lang w:eastAsia="zh-CN"/>
        </w:rPr>
        <w:t>997.9</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预算数</w:t>
      </w:r>
      <w:r>
        <w:rPr>
          <w:rFonts w:hint="default" w:ascii="Times New Roman" w:hAnsi="Times New Roman" w:eastAsia="仿宋_GB2312" w:cs="Times New Roman"/>
          <w:sz w:val="32"/>
          <w:szCs w:val="32"/>
          <w:highlight w:val="none"/>
          <w:u w:val="none"/>
        </w:rPr>
        <w:t>增加</w:t>
      </w:r>
      <w:r>
        <w:rPr>
          <w:rFonts w:hint="eastAsia" w:ascii="Times New Roman" w:hAnsi="Times New Roman" w:eastAsia="仿宋_GB2312" w:cs="Times New Roman"/>
          <w:sz w:val="32"/>
          <w:szCs w:val="32"/>
          <w:highlight w:val="none"/>
          <w:u w:val="none"/>
          <w:lang w:val="en-US" w:eastAsia="zh-CN"/>
        </w:rPr>
        <w:t>972.72</w:t>
      </w:r>
      <w:r>
        <w:rPr>
          <w:rFonts w:hint="default"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val="en-US" w:eastAsia="zh-CN"/>
        </w:rPr>
        <w:t>上年结转用于其他国有土地使用权出让收入安排的支出61.29万元，上年结转用于体育事业的彩票公益金支出936.61万元</w:t>
      </w:r>
      <w:r>
        <w:rPr>
          <w:rFonts w:hint="default" w:ascii="Times New Roman" w:hAnsi="Times New Roman" w:eastAsia="仿宋_GB2312" w:cs="Times New Roman"/>
          <w:sz w:val="32"/>
          <w:szCs w:val="32"/>
          <w:highlight w:val="none"/>
        </w:rPr>
        <w:t>。</w:t>
      </w:r>
    </w:p>
    <w:p w14:paraId="43DD825B">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p>
    <w:p w14:paraId="7757C6C7">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区教科体局2025年</w:t>
      </w:r>
      <w:r>
        <w:rPr>
          <w:rFonts w:hint="default" w:ascii="Times New Roman" w:hAnsi="Times New Roman" w:eastAsia="仿宋_GB2312" w:cs="Times New Roman"/>
          <w:sz w:val="32"/>
          <w:szCs w:val="32"/>
          <w:highlight w:val="none"/>
        </w:rPr>
        <w:t>没有使用国有资本经营预算拨款安排的支出。</w:t>
      </w:r>
    </w:p>
    <w:p w14:paraId="56F8F08F">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其他重要事项的情况说明</w:t>
      </w:r>
    </w:p>
    <w:p w14:paraId="0D5C868F">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（一）机关运行经费</w:t>
      </w:r>
      <w:r>
        <w:rPr>
          <w:rFonts w:hint="default" w:ascii="Times New Roman" w:hAnsi="Times New Roman" w:eastAsia="楷体_GB2312" w:cs="Times New Roman"/>
          <w:b/>
          <w:sz w:val="32"/>
          <w:szCs w:val="32"/>
          <w:highlight w:val="none"/>
          <w:lang w:eastAsia="zh-CN"/>
        </w:rPr>
        <w:t>情况</w:t>
      </w:r>
    </w:p>
    <w:p w14:paraId="5859F462">
      <w:pPr>
        <w:suppressAutoHyphens/>
        <w:bidi w:val="0"/>
        <w:spacing w:line="58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区教科体局</w:t>
      </w:r>
      <w:r>
        <w:rPr>
          <w:rFonts w:hint="eastAsia" w:ascii="仿宋_GB2312" w:hAnsi="仿宋_GB2312" w:eastAsia="仿宋_GB2312" w:cs="仿宋_GB2312"/>
          <w:sz w:val="32"/>
          <w:szCs w:val="32"/>
          <w:highlight w:val="none"/>
        </w:rPr>
        <w:t>机关运行经费财政拨款预算为</w:t>
      </w:r>
      <w:r>
        <w:rPr>
          <w:rFonts w:hint="eastAsia" w:ascii="仿宋_GB2312" w:hAnsi="仿宋_GB2312" w:eastAsia="仿宋_GB2312" w:cs="仿宋_GB2312"/>
          <w:sz w:val="32"/>
          <w:szCs w:val="32"/>
          <w:highlight w:val="none"/>
          <w:lang w:val="en-US" w:eastAsia="zh-CN"/>
        </w:rPr>
        <w:t>41.78</w:t>
      </w:r>
      <w:r>
        <w:rPr>
          <w:rFonts w:hint="eastAsia" w:ascii="仿宋_GB2312" w:hAnsi="仿宋_GB2312" w:eastAsia="仿宋_GB2312" w:cs="仿宋_GB2312"/>
          <w:sz w:val="32"/>
          <w:szCs w:val="32"/>
          <w:highlight w:val="none"/>
        </w:rPr>
        <w:t>万元，比</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rPr>
        <w:t>预算</w:t>
      </w:r>
      <w:r>
        <w:rPr>
          <w:rFonts w:hint="eastAsia" w:ascii="仿宋_GB2312" w:hAnsi="仿宋_GB2312" w:eastAsia="仿宋_GB2312" w:cs="仿宋_GB2312"/>
          <w:sz w:val="32"/>
          <w:szCs w:val="32"/>
          <w:highlight w:val="none"/>
          <w:lang w:val="en-US" w:eastAsia="zh-CN"/>
        </w:rPr>
        <w:t>增加2.28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增长5.46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2025年新进了人员，增加了支出</w:t>
      </w:r>
      <w:r>
        <w:rPr>
          <w:rFonts w:hint="eastAsia" w:ascii="仿宋_GB2312" w:hAnsi="仿宋_GB2312" w:eastAsia="仿宋_GB2312" w:cs="仿宋_GB2312"/>
          <w:sz w:val="32"/>
          <w:szCs w:val="32"/>
          <w:highlight w:val="none"/>
        </w:rPr>
        <w:t>。</w:t>
      </w:r>
      <w:bookmarkStart w:id="0" w:name="_GoBack"/>
      <w:bookmarkEnd w:id="0"/>
    </w:p>
    <w:p w14:paraId="472E2C20">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（二）政府采购情况</w:t>
      </w:r>
    </w:p>
    <w:p w14:paraId="585A8D6E">
      <w:pPr>
        <w:suppressAutoHyphens/>
        <w:bidi w:val="0"/>
        <w:spacing w:line="580" w:lineRule="exact"/>
        <w:ind w:firstLine="640" w:firstLineChars="200"/>
        <w:rPr>
          <w:rFonts w:hint="default" w:ascii="Times New Roman" w:hAnsi="Times New Roman" w:eastAsia="楷体_GB2312" w:cs="Times New Roman"/>
          <w:b/>
          <w:sz w:val="32"/>
          <w:szCs w:val="32"/>
          <w:highlight w:val="none"/>
        </w:rPr>
      </w:pPr>
      <w:r>
        <w:rPr>
          <w:rFonts w:hint="eastAsia" w:ascii="Times New Roman" w:hAnsi="Times New Roman" w:eastAsia="仿宋_GB2312" w:cs="Times New Roman"/>
          <w:sz w:val="32"/>
          <w:szCs w:val="32"/>
          <w:highlight w:val="none"/>
          <w:lang w:eastAsia="zh-CN"/>
        </w:rPr>
        <w:t>区教科体局2025年</w:t>
      </w:r>
      <w:r>
        <w:rPr>
          <w:rFonts w:hint="default" w:ascii="Times New Roman" w:hAnsi="Times New Roman" w:eastAsia="仿宋_GB2312" w:cs="Times New Roman"/>
          <w:sz w:val="32"/>
          <w:szCs w:val="32"/>
          <w:highlight w:val="none"/>
        </w:rPr>
        <w:t>无政府采购项目，未安排政府采购预算。</w:t>
      </w:r>
    </w:p>
    <w:p w14:paraId="5B99A626">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（三）国有资产占有使用情况</w:t>
      </w:r>
    </w:p>
    <w:p w14:paraId="79D5113A">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截至</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底，</w:t>
      </w:r>
      <w:r>
        <w:rPr>
          <w:rFonts w:hint="eastAsia" w:ascii="Times New Roman" w:hAnsi="Times New Roman" w:eastAsia="仿宋_GB2312" w:cs="Times New Roman"/>
          <w:sz w:val="32"/>
          <w:szCs w:val="32"/>
          <w:highlight w:val="none"/>
          <w:lang w:eastAsia="zh-CN"/>
        </w:rPr>
        <w:t>区教科体局</w:t>
      </w:r>
      <w:r>
        <w:rPr>
          <w:rFonts w:hint="default" w:ascii="Times New Roman" w:hAnsi="Times New Roman" w:eastAsia="仿宋_GB2312" w:cs="Times New Roman"/>
          <w:sz w:val="32"/>
          <w:szCs w:val="32"/>
          <w:highlight w:val="none"/>
        </w:rPr>
        <w:t>所属各预算单位共有车辆</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辆，其中，定向保障用车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辆、执法执勤用车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辆。单位价值200万元以上大型设备</w:t>
      </w:r>
      <w:r>
        <w:rPr>
          <w:rFonts w:hint="eastAsia"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台（套）。</w:t>
      </w:r>
    </w:p>
    <w:p w14:paraId="782B1616">
      <w:pPr>
        <w:suppressAutoHyphens/>
        <w:bidi w:val="0"/>
        <w:spacing w:line="58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2025年区教科体局</w:t>
      </w:r>
      <w:r>
        <w:rPr>
          <w:rFonts w:hint="default" w:ascii="Times New Roman" w:hAnsi="Times New Roman" w:eastAsia="仿宋_GB2312" w:cs="Times New Roman"/>
          <w:color w:val="auto"/>
          <w:sz w:val="32"/>
          <w:szCs w:val="32"/>
          <w:highlight w:val="none"/>
        </w:rPr>
        <w:t>部门预算未安排购置车辆及单位价值200万元以上大型设备。</w:t>
      </w:r>
    </w:p>
    <w:p w14:paraId="28016C43">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（四）</w:t>
      </w:r>
      <w:r>
        <w:rPr>
          <w:rFonts w:hint="default" w:ascii="Times New Roman" w:hAnsi="Times New Roman" w:eastAsia="楷体_GB2312" w:cs="Times New Roman"/>
          <w:b/>
          <w:sz w:val="32"/>
          <w:szCs w:val="32"/>
          <w:highlight w:val="none"/>
          <w:lang w:eastAsia="zh-CN"/>
        </w:rPr>
        <w:t>预算绩效情况</w:t>
      </w:r>
    </w:p>
    <w:p w14:paraId="1C99975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2025年</w:t>
      </w:r>
      <w:r>
        <w:rPr>
          <w:rFonts w:hint="eastAsia" w:ascii="Times New Roman" w:hAnsi="Times New Roman" w:eastAsia="仿宋_GB2312" w:cs="Times New Roman"/>
          <w:color w:val="auto"/>
          <w:sz w:val="32"/>
          <w:szCs w:val="32"/>
          <w:highlight w:val="none"/>
          <w:lang w:eastAsia="zh-CN"/>
        </w:rPr>
        <w:t>区教科体局</w:t>
      </w:r>
      <w:r>
        <w:rPr>
          <w:rFonts w:hint="default" w:ascii="Times New Roman" w:hAnsi="Times New Roman" w:eastAsia="仿宋_GB2312" w:cs="Times New Roman"/>
          <w:color w:val="auto"/>
          <w:sz w:val="32"/>
          <w:szCs w:val="32"/>
          <w:highlight w:val="none"/>
          <w:lang w:val="en-US" w:eastAsia="zh-CN"/>
        </w:rPr>
        <w:t>开展绩效目标管理的项目</w:t>
      </w:r>
      <w:r>
        <w:rPr>
          <w:rFonts w:hint="eastAsia" w:ascii="Times New Roman" w:hAnsi="Times New Roman" w:eastAsia="仿宋_GB2312" w:cs="Times New Roman"/>
          <w:color w:val="auto"/>
          <w:sz w:val="32"/>
          <w:szCs w:val="32"/>
          <w:highlight w:val="none"/>
          <w:lang w:val="en-US" w:eastAsia="zh-CN"/>
        </w:rPr>
        <w:t>47</w:t>
      </w:r>
      <w:r>
        <w:rPr>
          <w:rFonts w:hint="default" w:ascii="Times New Roman" w:hAnsi="Times New Roman" w:eastAsia="仿宋_GB2312" w:cs="Times New Roman"/>
          <w:color w:val="auto"/>
          <w:sz w:val="32"/>
          <w:szCs w:val="32"/>
          <w:highlight w:val="none"/>
          <w:lang w:eastAsia="zh-CN"/>
        </w:rPr>
        <w:t>个，涉及预算</w:t>
      </w:r>
      <w:r>
        <w:rPr>
          <w:rFonts w:hint="eastAsia" w:ascii="Times New Roman" w:hAnsi="Times New Roman" w:eastAsia="仿宋_GB2312" w:cs="Times New Roman"/>
          <w:color w:val="auto"/>
          <w:sz w:val="32"/>
          <w:szCs w:val="32"/>
          <w:highlight w:val="none"/>
          <w:lang w:val="en-US" w:eastAsia="zh-CN"/>
        </w:rPr>
        <w:t>4269.81</w:t>
      </w:r>
      <w:r>
        <w:rPr>
          <w:rFonts w:hint="default" w:ascii="Times New Roman" w:hAnsi="Times New Roman" w:eastAsia="仿宋_GB2312" w:cs="Times New Roman"/>
          <w:color w:val="auto"/>
          <w:sz w:val="32"/>
          <w:szCs w:val="32"/>
          <w:highlight w:val="none"/>
          <w:lang w:eastAsia="zh-CN"/>
        </w:rPr>
        <w:t>万元。其中：人员类项目</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eastAsia="zh-CN"/>
        </w:rPr>
        <w:t>个，涉及预算</w:t>
      </w:r>
      <w:r>
        <w:rPr>
          <w:rFonts w:hint="eastAsia" w:ascii="Times New Roman" w:hAnsi="Times New Roman" w:eastAsia="仿宋_GB2312" w:cs="Times New Roman"/>
          <w:color w:val="auto"/>
          <w:sz w:val="32"/>
          <w:szCs w:val="32"/>
          <w:highlight w:val="none"/>
          <w:lang w:val="en-US" w:eastAsia="zh-CN"/>
        </w:rPr>
        <w:t>528.70</w:t>
      </w:r>
      <w:r>
        <w:rPr>
          <w:rFonts w:hint="default" w:ascii="Times New Roman" w:hAnsi="Times New Roman" w:eastAsia="仿宋_GB2312" w:cs="Times New Roman"/>
          <w:color w:val="auto"/>
          <w:sz w:val="32"/>
          <w:szCs w:val="32"/>
          <w:highlight w:val="none"/>
          <w:lang w:eastAsia="zh-CN"/>
        </w:rPr>
        <w:t>万元；运转类项目</w:t>
      </w:r>
      <w:r>
        <w:rPr>
          <w:rFonts w:hint="eastAsia" w:ascii="Times New Roman" w:hAnsi="Times New Roman"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lang w:eastAsia="zh-CN"/>
        </w:rPr>
        <w:t>个，涉及预算</w:t>
      </w:r>
      <w:r>
        <w:rPr>
          <w:rFonts w:hint="eastAsia" w:ascii="Times New Roman" w:hAnsi="Times New Roman" w:eastAsia="仿宋_GB2312" w:cs="Times New Roman"/>
          <w:color w:val="auto"/>
          <w:sz w:val="32"/>
          <w:szCs w:val="32"/>
          <w:highlight w:val="none"/>
          <w:lang w:val="en-US" w:eastAsia="zh-CN"/>
        </w:rPr>
        <w:t>41.78</w:t>
      </w:r>
      <w:r>
        <w:rPr>
          <w:rFonts w:hint="default" w:ascii="Times New Roman" w:hAnsi="Times New Roman" w:eastAsia="仿宋_GB2312" w:cs="Times New Roman"/>
          <w:color w:val="auto"/>
          <w:sz w:val="32"/>
          <w:szCs w:val="32"/>
          <w:highlight w:val="none"/>
          <w:lang w:eastAsia="zh-CN"/>
        </w:rPr>
        <w:t>万元；特定目标类项目</w:t>
      </w:r>
      <w:r>
        <w:rPr>
          <w:rFonts w:hint="eastAsia"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lang w:eastAsia="zh-CN"/>
        </w:rPr>
        <w:t>个，涉及预算</w:t>
      </w:r>
      <w:r>
        <w:rPr>
          <w:rFonts w:hint="eastAsia" w:ascii="Times New Roman" w:hAnsi="Times New Roman" w:eastAsia="仿宋_GB2312" w:cs="Times New Roman"/>
          <w:color w:val="auto"/>
          <w:sz w:val="32"/>
          <w:szCs w:val="32"/>
          <w:highlight w:val="none"/>
          <w:lang w:val="en-US" w:eastAsia="zh-CN"/>
        </w:rPr>
        <w:t>3699.33</w:t>
      </w:r>
      <w:r>
        <w:rPr>
          <w:rFonts w:hint="default" w:ascii="Times New Roman" w:hAnsi="Times New Roman" w:eastAsia="仿宋_GB2312" w:cs="Times New Roman"/>
          <w:color w:val="auto"/>
          <w:sz w:val="32"/>
          <w:szCs w:val="32"/>
          <w:highlight w:val="none"/>
          <w:lang w:eastAsia="zh-CN"/>
        </w:rPr>
        <w:t>万元。</w:t>
      </w:r>
    </w:p>
    <w:p w14:paraId="665019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highlight w:val="none"/>
          <w:u w:val="single"/>
          <w:lang w:val="en-US" w:eastAsia="zh-CN" w:bidi="ar-SA"/>
        </w:rPr>
      </w:pPr>
      <w:r>
        <w:rPr>
          <w:rFonts w:hint="default" w:ascii="Times New Roman" w:hAnsi="Times New Roman" w:eastAsia="仿宋_GB2312" w:cs="Times New Roman"/>
          <w:color w:val="auto"/>
          <w:kern w:val="2"/>
          <w:sz w:val="32"/>
          <w:szCs w:val="32"/>
          <w:highlight w:val="none"/>
          <w:u w:val="single"/>
          <w:lang w:val="en-US" w:eastAsia="zh-CN" w:bidi="ar-SA"/>
        </w:rPr>
        <w:br w:type="page"/>
      </w:r>
    </w:p>
    <w:p w14:paraId="1AFC38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14:paraId="18E2B5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57567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068FE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1BD09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B769A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44665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98E05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E6670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0DC2DB5">
      <w:pPr>
        <w:numPr>
          <w:ilvl w:val="0"/>
          <w:numId w:val="0"/>
        </w:numPr>
        <w:shd w:val="clear" w:color="auto" w:fill="auto"/>
        <w:ind w:left="0" w:leftChars="0" w:right="0" w:rightChars="0" w:firstLine="0" w:firstLineChars="0"/>
        <w:jc w:val="center"/>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第三部分  </w:t>
      </w:r>
      <w:r>
        <w:rPr>
          <w:rFonts w:hint="default" w:ascii="Times New Roman" w:hAnsi="Times New Roman" w:eastAsia="方正小标宋简体" w:cs="方正小标宋简体"/>
          <w:color w:val="auto"/>
          <w:kern w:val="0"/>
          <w:sz w:val="52"/>
          <w:szCs w:val="52"/>
          <w:highlight w:val="none"/>
          <w:shd w:val="clear" w:color="auto" w:fill="auto"/>
          <w:lang w:val="en-US" w:eastAsia="zh-CN" w:bidi="ar"/>
        </w:rPr>
        <w:t>名词解释</w:t>
      </w:r>
    </w:p>
    <w:p w14:paraId="3B84194A">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sectPr>
          <w:footerReference r:id="rId7"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p>
    <w:p w14:paraId="606F8526">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1.一般公共预算拨款收入：指</w:t>
      </w:r>
      <w:r>
        <w:rPr>
          <w:rFonts w:hint="eastAsia" w:ascii="Times New Roman" w:hAnsi="Times New Roman" w:eastAsia="仿宋_GB2312"/>
          <w:sz w:val="32"/>
          <w:szCs w:val="32"/>
          <w:highlight w:val="none"/>
          <w:lang w:eastAsia="zh-CN"/>
        </w:rPr>
        <w:t>区</w:t>
      </w:r>
      <w:r>
        <w:rPr>
          <w:rFonts w:hint="eastAsia" w:ascii="Times New Roman" w:hAnsi="Times New Roman" w:eastAsia="仿宋_GB2312"/>
          <w:sz w:val="32"/>
          <w:szCs w:val="32"/>
          <w:highlight w:val="none"/>
        </w:rPr>
        <w:t>级财政当年拨付的资金。</w:t>
      </w:r>
    </w:p>
    <w:p w14:paraId="4E5C9953">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2.上年结转：指以前年度尚未完成，结转到本年仍按原规定用途继续使用的资金。</w:t>
      </w:r>
    </w:p>
    <w:p w14:paraId="0AC7E7E2">
      <w:pPr>
        <w:ind w:firstLine="640" w:firstLineChars="200"/>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Times New Roman" w:hAnsi="Times New Roman" w:eastAsia="仿宋_GB2312" w:cs="Times New Roman"/>
          <w:color w:val="auto"/>
          <w:sz w:val="32"/>
          <w:szCs w:val="32"/>
          <w:highlight w:val="none"/>
          <w:lang w:eastAsia="zh-CN"/>
        </w:rPr>
        <w:t>教育支出</w:t>
      </w:r>
      <w:r>
        <w:rPr>
          <w:rFonts w:hint="eastAsia"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eastAsia="zh-CN"/>
        </w:rPr>
        <w:t>普通教育</w:t>
      </w:r>
      <w:r>
        <w:rPr>
          <w:rFonts w:hint="eastAsia" w:ascii="Times New Roman" w:hAnsi="Times New Roman" w:eastAsia="仿宋_GB2312" w:cs="Times New Roman"/>
          <w:color w:val="auto"/>
          <w:sz w:val="32"/>
          <w:szCs w:val="32"/>
          <w:highlight w:val="none"/>
        </w:rPr>
        <w:t>（款）</w:t>
      </w:r>
      <w:r>
        <w:rPr>
          <w:rFonts w:hint="eastAsia" w:ascii="仿宋_GB2312" w:hAnsi="仿宋_GB2312" w:eastAsia="仿宋_GB2312" w:cs="仿宋_GB2312"/>
          <w:sz w:val="32"/>
          <w:szCs w:val="32"/>
          <w:highlight w:val="none"/>
        </w:rPr>
        <w:t>行政运行</w:t>
      </w:r>
      <w:r>
        <w:rPr>
          <w:rFonts w:hint="eastAsia" w:ascii="Times New Roman" w:hAnsi="Times New Roman" w:eastAsia="仿宋_GB2312" w:cs="Times New Roman"/>
          <w:color w:val="auto"/>
          <w:sz w:val="32"/>
          <w:szCs w:val="32"/>
          <w:highlight w:val="none"/>
        </w:rPr>
        <w:t>（项）</w:t>
      </w:r>
      <w:r>
        <w:rPr>
          <w:rFonts w:hint="eastAsia" w:ascii="仿宋_GB2312" w:eastAsia="仿宋_GB2312"/>
          <w:color w:val="000000"/>
          <w:sz w:val="32"/>
          <w:szCs w:val="32"/>
        </w:rPr>
        <w:t>：</w:t>
      </w:r>
      <w:r>
        <w:rPr>
          <w:rFonts w:hint="eastAsia" w:ascii="仿宋_GB2312" w:eastAsia="仿宋_GB2312"/>
          <w:color w:val="000000"/>
          <w:sz w:val="32"/>
          <w:szCs w:val="32"/>
          <w:highlight w:val="none"/>
          <w:lang w:val="en-US" w:eastAsia="zh-CN"/>
        </w:rPr>
        <w:t>反映行政单位的基本支出。</w:t>
      </w:r>
    </w:p>
    <w:p w14:paraId="5CEFF4C8">
      <w:pPr>
        <w:ind w:firstLine="640" w:firstLineChars="200"/>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4.</w:t>
      </w:r>
      <w:r>
        <w:rPr>
          <w:rFonts w:hint="eastAsia" w:ascii="Times New Roman" w:hAnsi="Times New Roman" w:eastAsia="仿宋_GB2312"/>
          <w:sz w:val="32"/>
          <w:szCs w:val="32"/>
          <w:highlight w:val="none"/>
          <w:lang w:val="en-US" w:eastAsia="zh-CN"/>
        </w:rPr>
        <w:t>教育支出（类）普通教育（款）其他教育管理事务支出（项）：反映其他用于教育管理事务方面的支出。</w:t>
      </w:r>
    </w:p>
    <w:p w14:paraId="00FBF1EE">
      <w:pPr>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5.社会保障和就业支出（类）行政事业单位养老支出（款）机关事业单位基本养老保险缴费支出（项）：反映机关事业单位实施养老保险制度由单位缴纳的基本养老保险费支出。</w:t>
      </w:r>
    </w:p>
    <w:p w14:paraId="40184C6F">
      <w:pPr>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6.卫生健康支出（类）行政事业单位医疗（款）事业单位医疗（项）：反映财政部门安排的事业单位基本医疗保险缴费经费。</w:t>
      </w:r>
    </w:p>
    <w:p w14:paraId="5CE156F0">
      <w:pPr>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7.卫生健康支出</w:t>
      </w:r>
      <w:r>
        <w:rPr>
          <w:rFonts w:hint="eastAsia" w:ascii="Times New Roman" w:hAnsi="Times New Roman" w:eastAsia="仿宋_GB2312" w:cs="Times New Roman"/>
          <w:sz w:val="32"/>
          <w:szCs w:val="32"/>
          <w:highlight w:val="none"/>
          <w:lang w:eastAsia="zh-CN"/>
        </w:rPr>
        <w:t>（类）</w:t>
      </w:r>
      <w:r>
        <w:rPr>
          <w:rFonts w:hint="eastAsia" w:ascii="Times New Roman" w:hAnsi="Times New Roman" w:eastAsia="仿宋_GB2312" w:cs="Times New Roman"/>
          <w:sz w:val="32"/>
          <w:szCs w:val="32"/>
          <w:highlight w:val="none"/>
          <w:lang w:val="en-US" w:eastAsia="zh-CN"/>
        </w:rPr>
        <w:t>行政事业单位医疗</w:t>
      </w:r>
      <w:r>
        <w:rPr>
          <w:rFonts w:hint="eastAsia" w:ascii="Times New Roman" w:hAnsi="Times New Roman" w:eastAsia="仿宋_GB2312" w:cs="Times New Roman"/>
          <w:sz w:val="32"/>
          <w:szCs w:val="32"/>
          <w:highlight w:val="none"/>
          <w:lang w:eastAsia="zh-CN"/>
        </w:rPr>
        <w:t>（款）</w:t>
      </w:r>
      <w:r>
        <w:rPr>
          <w:rFonts w:hint="eastAsia" w:ascii="Times New Roman" w:hAnsi="Times New Roman" w:eastAsia="仿宋_GB2312" w:cs="Times New Roman"/>
          <w:sz w:val="32"/>
          <w:szCs w:val="32"/>
          <w:highlight w:val="none"/>
          <w:lang w:val="en-US" w:eastAsia="zh-CN"/>
        </w:rPr>
        <w:t>行政单位医疗</w:t>
      </w:r>
      <w:r>
        <w:rPr>
          <w:rFonts w:hint="eastAsia" w:ascii="Times New Roman" w:hAnsi="Times New Roman" w:eastAsia="仿宋_GB2312" w:cs="Times New Roman"/>
          <w:sz w:val="32"/>
          <w:szCs w:val="32"/>
          <w:highlight w:val="none"/>
          <w:lang w:eastAsia="zh-CN"/>
        </w:rPr>
        <w:t>（项）：</w:t>
      </w:r>
      <w:r>
        <w:rPr>
          <w:rFonts w:hint="eastAsia" w:ascii="Times New Roman" w:hAnsi="Times New Roman" w:eastAsia="仿宋_GB2312" w:cs="Times New Roman"/>
          <w:sz w:val="32"/>
          <w:szCs w:val="32"/>
          <w:highlight w:val="none"/>
          <w:lang w:val="en-US" w:eastAsia="zh-CN"/>
        </w:rPr>
        <w:t>反映财政部门安排的行政单位基本医疗保险缴费经费。</w:t>
      </w:r>
    </w:p>
    <w:p w14:paraId="7E495F57">
      <w:pPr>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8.卫生健康支出</w:t>
      </w:r>
      <w:r>
        <w:rPr>
          <w:rFonts w:hint="eastAsia" w:ascii="Times New Roman" w:hAnsi="Times New Roman" w:eastAsia="仿宋_GB2312" w:cs="Times New Roman"/>
          <w:sz w:val="32"/>
          <w:szCs w:val="32"/>
          <w:highlight w:val="none"/>
          <w:lang w:eastAsia="zh-CN"/>
        </w:rPr>
        <w:t>（类）</w:t>
      </w:r>
      <w:r>
        <w:rPr>
          <w:rFonts w:hint="eastAsia" w:ascii="Times New Roman" w:hAnsi="Times New Roman" w:eastAsia="仿宋_GB2312" w:cs="Times New Roman"/>
          <w:sz w:val="32"/>
          <w:szCs w:val="32"/>
          <w:highlight w:val="none"/>
          <w:lang w:val="en-US" w:eastAsia="zh-CN"/>
        </w:rPr>
        <w:t>行政事业单位医疗</w:t>
      </w:r>
      <w:r>
        <w:rPr>
          <w:rFonts w:hint="eastAsia" w:ascii="Times New Roman" w:hAnsi="Times New Roman" w:eastAsia="仿宋_GB2312" w:cs="Times New Roman"/>
          <w:sz w:val="32"/>
          <w:szCs w:val="32"/>
          <w:highlight w:val="none"/>
          <w:lang w:eastAsia="zh-CN"/>
        </w:rPr>
        <w:t>（款）</w:t>
      </w:r>
      <w:r>
        <w:rPr>
          <w:rFonts w:hint="eastAsia" w:ascii="Times New Roman" w:hAnsi="Times New Roman" w:eastAsia="仿宋_GB2312" w:cs="Times New Roman"/>
          <w:sz w:val="32"/>
          <w:szCs w:val="32"/>
          <w:highlight w:val="none"/>
          <w:lang w:val="en-US" w:eastAsia="zh-CN"/>
        </w:rPr>
        <w:t>公务员医疗补助</w:t>
      </w:r>
      <w:r>
        <w:rPr>
          <w:rFonts w:hint="eastAsia" w:ascii="Times New Roman" w:hAnsi="Times New Roman" w:eastAsia="仿宋_GB2312" w:cs="Times New Roman"/>
          <w:sz w:val="32"/>
          <w:szCs w:val="32"/>
          <w:highlight w:val="none"/>
          <w:lang w:eastAsia="zh-CN"/>
        </w:rPr>
        <w:t>（项）：</w:t>
      </w:r>
      <w:r>
        <w:rPr>
          <w:rFonts w:hint="eastAsia" w:ascii="Times New Roman" w:hAnsi="Times New Roman" w:eastAsia="仿宋_GB2312" w:cs="Times New Roman"/>
          <w:sz w:val="32"/>
          <w:szCs w:val="32"/>
          <w:highlight w:val="none"/>
          <w:lang w:val="en-US" w:eastAsia="zh-CN"/>
        </w:rPr>
        <w:t>反映财政部门安排的公务员医疗补助经费。</w:t>
      </w:r>
    </w:p>
    <w:p w14:paraId="1F2B216D">
      <w:pPr>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9.住房保障支出（类）行政事业单位住房保障（款）住房公积金（项）：反映行政事业单位按人力资源和社会保障部、财政部规定的基本工资</w:t>
      </w:r>
      <w:r>
        <w:rPr>
          <w:rFonts w:hint="eastAsia" w:ascii="Times New Roman" w:hAnsi="Times New Roman" w:eastAsia="仿宋_GB2312" w:cs="Times New Roman"/>
          <w:color w:val="auto"/>
          <w:sz w:val="32"/>
          <w:szCs w:val="32"/>
          <w:highlight w:val="none"/>
          <w:lang w:val="en-US" w:eastAsia="zh-CN"/>
        </w:rPr>
        <w:t>和津贴补贴以及规定比例为职工缴纳的住房公积金。</w:t>
      </w:r>
    </w:p>
    <w:p w14:paraId="71F58CFC">
      <w:pPr>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rPr>
        <w:t>.基本支出：指为保证机构正常运转，完成日常工作任务而发生的人员支出和公用支出。</w:t>
      </w:r>
    </w:p>
    <w:p w14:paraId="2B3302F2">
      <w:pPr>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11</w:t>
      </w:r>
      <w:r>
        <w:rPr>
          <w:rFonts w:hint="eastAsia" w:ascii="Times New Roman" w:hAnsi="Times New Roman" w:eastAsia="仿宋_GB2312"/>
          <w:sz w:val="32"/>
          <w:szCs w:val="32"/>
          <w:highlight w:val="none"/>
        </w:rPr>
        <w:t>.项目支出：指在基本支出之外为完成特定行政任务和事业发展目标所发生的支出。</w:t>
      </w:r>
    </w:p>
    <w:p w14:paraId="282AD7EF">
      <w:pPr>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61AE9CD">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13</w:t>
      </w:r>
      <w:r>
        <w:rPr>
          <w:rFonts w:hint="eastAsia" w:ascii="Times New Roman" w:hAnsi="Times New Roman" w:eastAsia="仿宋_GB2312"/>
          <w:sz w:val="32"/>
          <w:szCs w:val="32"/>
          <w:highlight w:val="none"/>
        </w:rPr>
        <w:t>.机关运行经费：为保障行政单位（包含参照公务员法管理的事业单位）运行用于购买货物和服务的各项资金。包括办公及印刷费、邮电费、差旅费、会议费一般设备购置费等费用开支。</w:t>
      </w:r>
    </w:p>
    <w:p w14:paraId="0A9C943C">
      <w:pPr>
        <w:spacing w:line="240" w:lineRule="auto"/>
        <w:ind w:firstLine="0" w:firstLineChars="0"/>
        <w:rPr>
          <w:rFonts w:hint="default" w:ascii="Times New Roman" w:hAnsi="Times New Roman" w:eastAsia="楷体" w:cs="Times New Roman"/>
          <w:b/>
          <w:color w:val="FF0000"/>
          <w:sz w:val="32"/>
          <w:szCs w:val="32"/>
          <w:highlight w:val="none"/>
        </w:rPr>
      </w:pPr>
      <w:r>
        <w:rPr>
          <w:rFonts w:hint="default" w:ascii="Times New Roman" w:hAnsi="Times New Roman" w:eastAsia="楷体" w:cs="Times New Roman"/>
          <w:b/>
          <w:color w:val="FF0000"/>
          <w:sz w:val="32"/>
          <w:szCs w:val="32"/>
          <w:highlight w:val="none"/>
        </w:rPr>
        <w:br w:type="page"/>
      </w:r>
    </w:p>
    <w:p w14:paraId="4D3C92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641D7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67492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3B949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4AD20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7D37F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6A303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2560B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C1744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AC62CBE">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8"/>
          <w:szCs w:val="48"/>
          <w:highlight w:val="none"/>
          <w:shd w:val="clear" w:color="auto" w:fill="auto"/>
          <w:lang w:val="en-US" w:eastAsia="zh-CN" w:bidi="ar"/>
        </w:rPr>
      </w:pPr>
    </w:p>
    <w:p w14:paraId="61C14C65">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outlineLvl w:val="0"/>
        <w:rPr>
          <w:rFonts w:hint="eastAsia" w:ascii="Times New Roman" w:hAnsi="Times New Roman" w:eastAsia="方正小标宋简体" w:cs="方正小标宋简体"/>
          <w:color w:val="auto"/>
          <w:kern w:val="0"/>
          <w:sz w:val="48"/>
          <w:szCs w:val="48"/>
          <w:highlight w:val="none"/>
          <w:shd w:val="clear" w:color="auto" w:fill="auto"/>
          <w:lang w:val="en-US" w:eastAsia="zh-CN" w:bidi="ar"/>
        </w:rPr>
      </w:pPr>
      <w:r>
        <w:rPr>
          <w:rFonts w:hint="eastAsia" w:ascii="Times New Roman" w:hAnsi="Times New Roman" w:eastAsia="方正小标宋简体" w:cs="方正小标宋简体"/>
          <w:color w:val="auto"/>
          <w:kern w:val="0"/>
          <w:sz w:val="48"/>
          <w:szCs w:val="48"/>
          <w:highlight w:val="none"/>
          <w:shd w:val="clear" w:color="auto" w:fill="auto"/>
          <w:lang w:val="en-US" w:eastAsia="zh-CN" w:bidi="ar"/>
        </w:rPr>
        <w:t>广安市前锋区教育科技和体育局</w:t>
      </w:r>
    </w:p>
    <w:p w14:paraId="167DE193">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outlineLvl w:val="0"/>
        <w:rPr>
          <w:rFonts w:hint="eastAsia" w:ascii="Times New Roman" w:hAnsi="Times New Roman" w:eastAsia="方正小标宋简体" w:cs="方正小标宋简体"/>
          <w:color w:val="auto"/>
          <w:kern w:val="0"/>
          <w:sz w:val="48"/>
          <w:szCs w:val="48"/>
          <w:highlight w:val="none"/>
          <w:shd w:val="clear" w:color="auto" w:fill="auto"/>
          <w:lang w:val="en-US" w:eastAsia="zh-CN" w:bidi="ar"/>
        </w:rPr>
      </w:pPr>
      <w:r>
        <w:rPr>
          <w:rFonts w:hint="eastAsia" w:ascii="Times New Roman" w:hAnsi="Times New Roman" w:eastAsia="方正小标宋简体" w:cs="方正小标宋简体"/>
          <w:color w:val="auto"/>
          <w:kern w:val="0"/>
          <w:sz w:val="48"/>
          <w:szCs w:val="48"/>
          <w:highlight w:val="none"/>
          <w:shd w:val="clear" w:color="auto" w:fill="auto"/>
          <w:lang w:val="en-US" w:eastAsia="zh-CN" w:bidi="ar"/>
        </w:rPr>
        <w:t>2025年部门预算表</w:t>
      </w:r>
    </w:p>
    <w:p w14:paraId="4B29524A">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center"/>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8"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p>
    <w:p w14:paraId="5A440AF6">
      <w:pPr>
        <w:spacing w:line="600" w:lineRule="exact"/>
        <w:ind w:firstLine="643" w:firstLineChars="200"/>
        <w:rPr>
          <w:rFonts w:hint="eastAsia" w:ascii="Times New Roman" w:hAnsi="Times New Roman" w:eastAsia="楷体" w:cs="Times New Roman"/>
          <w:b/>
          <w:color w:val="FF0000"/>
          <w:sz w:val="32"/>
          <w:szCs w:val="32"/>
          <w:highlight w:val="none"/>
          <w:lang w:eastAsia="zh-CN"/>
        </w:rPr>
      </w:pPr>
    </w:p>
    <w:p w14:paraId="7E2734EF">
      <w:pPr>
        <w:spacing w:line="600" w:lineRule="exact"/>
        <w:rPr>
          <w:rFonts w:hint="default" w:ascii="Times New Roman" w:hAnsi="Times New Roman" w:eastAsia="仿宋_GB2312" w:cs="Times New Roman"/>
          <w:sz w:val="32"/>
          <w:szCs w:val="32"/>
          <w:highlight w:val="none"/>
        </w:rPr>
      </w:pPr>
    </w:p>
    <w:p w14:paraId="12271191">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附件：</w:t>
      </w:r>
      <w:r>
        <w:rPr>
          <w:rFonts w:hint="default" w:ascii="Times New Roman" w:hAnsi="Times New Roman" w:eastAsia="仿宋_GB2312" w:cs="Times New Roman"/>
          <w:sz w:val="32"/>
          <w:szCs w:val="32"/>
          <w:highlight w:val="none"/>
        </w:rPr>
        <w:t>表1 部门收支总表</w:t>
      </w:r>
    </w:p>
    <w:p w14:paraId="5AF1D63B">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14:paraId="56F9DECA">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14:paraId="6B39B985">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14:paraId="39B4179A">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14:paraId="12DF5AE1">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14:paraId="5CD80F73">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14:paraId="44146479">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14:paraId="2D278A86">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14:paraId="0154E7C9">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14:paraId="49C36DA3">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14:paraId="1D3D889D">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14:paraId="2BE7FCB5">
      <w:pPr>
        <w:spacing w:line="600" w:lineRule="exact"/>
        <w:ind w:firstLine="1600" w:firstLineChars="5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14:paraId="14C561D1">
      <w:pPr>
        <w:spacing w:line="600" w:lineRule="exact"/>
        <w:ind w:firstLine="1600" w:firstLineChars="5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14:paraId="3E57658F">
      <w:pPr>
        <w:spacing w:line="600" w:lineRule="exact"/>
        <w:ind w:firstLine="562" w:firstLineChars="200"/>
        <w:rPr>
          <w:rFonts w:hint="default" w:ascii="Times New Roman" w:hAnsi="Times New Roman" w:eastAsia="楷体" w:cs="Times New Roman"/>
          <w:b/>
          <w:color w:val="FF0000"/>
          <w:sz w:val="28"/>
          <w:szCs w:val="32"/>
          <w:highlight w:val="none"/>
          <w:lang w:val="en-US" w:eastAsia="zh-CN"/>
        </w:rPr>
      </w:pPr>
    </w:p>
    <w:p w14:paraId="5F6AE7C2"/>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00285B-76CD-4706-8366-5A76A5F8DE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540AEE62-5419-4FB1-854F-1EA31DDCAFD2}"/>
  </w:font>
  <w:font w:name="仿宋_GB2312">
    <w:panose1 w:val="02010609030101010101"/>
    <w:charset w:val="86"/>
    <w:family w:val="modern"/>
    <w:pitch w:val="default"/>
    <w:sig w:usb0="00000001" w:usb1="080E0000" w:usb2="00000000" w:usb3="00000000" w:csb0="00040000" w:csb1="00000000"/>
    <w:embedRegular r:id="rId3" w:fontKey="{D99F6E24-177B-435B-865F-42779EDC0B28}"/>
  </w:font>
  <w:font w:name="方正小标宋简体">
    <w:panose1 w:val="02000000000000000000"/>
    <w:charset w:val="86"/>
    <w:family w:val="auto"/>
    <w:pitch w:val="default"/>
    <w:sig w:usb0="00000001" w:usb1="08000000" w:usb2="00000000" w:usb3="00000000" w:csb0="00040000" w:csb1="00000000"/>
    <w:embedRegular r:id="rId4" w:fontKey="{99153A70-7DE4-4036-A67C-4AF4C1E3CFF1}"/>
  </w:font>
  <w:font w:name="楷体_GB2312">
    <w:panose1 w:val="02010609030101010101"/>
    <w:charset w:val="86"/>
    <w:family w:val="auto"/>
    <w:pitch w:val="default"/>
    <w:sig w:usb0="00000001" w:usb1="080E0000" w:usb2="00000000" w:usb3="00000000" w:csb0="00040000" w:csb1="00000000"/>
    <w:embedRegular r:id="rId5" w:fontKey="{F475EF13-07F1-4D11-AF23-A70C2183B51A}"/>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embedRegular r:id="rId6" w:fontKey="{1FA1CC92-BFEB-427B-AF1A-981694C1D3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B703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3B102">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1D47D">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AFFBC">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C231B">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7B948">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368DF">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9803E8"/>
    <w:multiLevelType w:val="singleLevel"/>
    <w:tmpl w:val="4A9803E8"/>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02D51"/>
    <w:rsid w:val="08632809"/>
    <w:rsid w:val="08894599"/>
    <w:rsid w:val="0A5C5D7B"/>
    <w:rsid w:val="0AB83473"/>
    <w:rsid w:val="0BDB744F"/>
    <w:rsid w:val="0D38267F"/>
    <w:rsid w:val="0E9B4C74"/>
    <w:rsid w:val="0F0A1DF9"/>
    <w:rsid w:val="0F270FEE"/>
    <w:rsid w:val="0FD84EA9"/>
    <w:rsid w:val="11274EE5"/>
    <w:rsid w:val="1142587A"/>
    <w:rsid w:val="16013F56"/>
    <w:rsid w:val="17233A58"/>
    <w:rsid w:val="182B350C"/>
    <w:rsid w:val="182E7E86"/>
    <w:rsid w:val="18DC76E4"/>
    <w:rsid w:val="19B825B4"/>
    <w:rsid w:val="1C455714"/>
    <w:rsid w:val="1D167BBB"/>
    <w:rsid w:val="1F103B11"/>
    <w:rsid w:val="1F42113B"/>
    <w:rsid w:val="22513B6F"/>
    <w:rsid w:val="23DC121C"/>
    <w:rsid w:val="274243CE"/>
    <w:rsid w:val="27B4077C"/>
    <w:rsid w:val="29E1421F"/>
    <w:rsid w:val="2B6D7540"/>
    <w:rsid w:val="2D4B38B1"/>
    <w:rsid w:val="2E6C3ADF"/>
    <w:rsid w:val="30030473"/>
    <w:rsid w:val="31102E48"/>
    <w:rsid w:val="31D64091"/>
    <w:rsid w:val="335E740E"/>
    <w:rsid w:val="35ED19A9"/>
    <w:rsid w:val="39424D51"/>
    <w:rsid w:val="3A160918"/>
    <w:rsid w:val="3A886B6C"/>
    <w:rsid w:val="3ACA22B9"/>
    <w:rsid w:val="3B0F23C2"/>
    <w:rsid w:val="3B64626A"/>
    <w:rsid w:val="3C2136BB"/>
    <w:rsid w:val="3FC01EDD"/>
    <w:rsid w:val="41260A93"/>
    <w:rsid w:val="41526B64"/>
    <w:rsid w:val="41AF045B"/>
    <w:rsid w:val="44A41DCD"/>
    <w:rsid w:val="456652D4"/>
    <w:rsid w:val="46097477"/>
    <w:rsid w:val="47EA79BB"/>
    <w:rsid w:val="486F44A0"/>
    <w:rsid w:val="496702A5"/>
    <w:rsid w:val="4A9F2ECE"/>
    <w:rsid w:val="4BB943B0"/>
    <w:rsid w:val="4CF270BF"/>
    <w:rsid w:val="50D6330E"/>
    <w:rsid w:val="541F585F"/>
    <w:rsid w:val="54684BC5"/>
    <w:rsid w:val="548B08B3"/>
    <w:rsid w:val="54D67D81"/>
    <w:rsid w:val="56836083"/>
    <w:rsid w:val="57090374"/>
    <w:rsid w:val="59367040"/>
    <w:rsid w:val="59512383"/>
    <w:rsid w:val="5A0A5DD6"/>
    <w:rsid w:val="5A581238"/>
    <w:rsid w:val="5CA70254"/>
    <w:rsid w:val="5D881E34"/>
    <w:rsid w:val="5FA85927"/>
    <w:rsid w:val="5FBF1411"/>
    <w:rsid w:val="61464BA5"/>
    <w:rsid w:val="61B165C2"/>
    <w:rsid w:val="62126170"/>
    <w:rsid w:val="640834F7"/>
    <w:rsid w:val="64346872"/>
    <w:rsid w:val="647A5AE9"/>
    <w:rsid w:val="65B90B06"/>
    <w:rsid w:val="66A82BFF"/>
    <w:rsid w:val="693A72FA"/>
    <w:rsid w:val="69A73642"/>
    <w:rsid w:val="6AC00E5F"/>
    <w:rsid w:val="6BDF5315"/>
    <w:rsid w:val="6C0E79A8"/>
    <w:rsid w:val="6D4B1F5D"/>
    <w:rsid w:val="720F447A"/>
    <w:rsid w:val="72121874"/>
    <w:rsid w:val="73612AB3"/>
    <w:rsid w:val="754E0E15"/>
    <w:rsid w:val="790E548B"/>
    <w:rsid w:val="7E6C0EF6"/>
    <w:rsid w:val="7F2D7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8697</Words>
  <Characters>9214</Characters>
  <Lines>0</Lines>
  <Paragraphs>0</Paragraphs>
  <TotalTime>44</TotalTime>
  <ScaleCrop>false</ScaleCrop>
  <LinksUpToDate>false</LinksUpToDate>
  <CharactersWithSpaces>9280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2025-03-13T13:35:00Z</dcterms:created>
  <dc:creator>dsxxcw</dc:creator>
  <cp:lastModifiedBy>珍惜拥有</cp:lastModifiedBy>
  <dcterms:modified xsi:type="dcterms:W3CDTF">2025-03-27T08:59:19Z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eyJoZGlkIjoiM2E5NjljODA5ZjczNjc0MWQ5YzM3NDQ4NTFjNWQ1YWYiLCJ1c2VySWQiOiI4MzE2MTc5MTEifQ==</vt:lpwstr>
  </property>
  <property fmtid="{D5CDD505-2E9C-101B-9397-08002B2CF9AE}" pid="4" name="ICV">
    <vt:lpwstr>E0C56AAC45B84CB783F1D9FB6AEBC253_13</vt:lpwstr>
  </property>
</Properties>
</file>