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F824D">
      <w:pPr>
        <w:spacing w:line="600" w:lineRule="exact"/>
        <w:ind w:firstLine="880" w:firstLineChars="200"/>
        <w:jc w:val="center"/>
        <w:rPr>
          <w:rFonts w:hint="eastAsia" w:ascii="Times New Roman" w:hAnsi="Times New Roman" w:eastAsia="方正小标宋_GBK"/>
          <w:sz w:val="44"/>
          <w:szCs w:val="44"/>
          <w:highlight w:val="none"/>
        </w:rPr>
      </w:pPr>
    </w:p>
    <w:p w14:paraId="20C009CF">
      <w:pPr>
        <w:spacing w:line="600" w:lineRule="exact"/>
        <w:ind w:firstLine="880" w:firstLineChars="200"/>
        <w:jc w:val="center"/>
        <w:rPr>
          <w:rFonts w:hint="eastAsia" w:ascii="Times New Roman" w:hAnsi="Times New Roman" w:eastAsia="方正小标宋_GBK"/>
          <w:sz w:val="44"/>
          <w:szCs w:val="44"/>
          <w:highlight w:val="none"/>
          <w:lang w:val="en-US" w:eastAsia="zh-CN"/>
        </w:rPr>
      </w:pPr>
      <w:r>
        <w:rPr>
          <w:rFonts w:hint="eastAsia" w:ascii="Times New Roman" w:hAnsi="Times New Roman" w:eastAsia="方正小标宋_GBK"/>
          <w:sz w:val="44"/>
          <w:szCs w:val="44"/>
          <w:highlight w:val="none"/>
          <w:lang w:val="en-US" w:eastAsia="zh-CN"/>
        </w:rPr>
        <w:t>广安市前锋区经济和信息化局</w:t>
      </w:r>
    </w:p>
    <w:p w14:paraId="2612FC3C">
      <w:pPr>
        <w:spacing w:line="600" w:lineRule="exact"/>
        <w:ind w:firstLine="880" w:firstLineChars="200"/>
        <w:jc w:val="center"/>
        <w:rPr>
          <w:rFonts w:hint="eastAsia" w:ascii="Times New Roman" w:hAnsi="Times New Roman" w:eastAsia="方正小标宋_GBK"/>
          <w:sz w:val="44"/>
          <w:szCs w:val="44"/>
          <w:highlight w:val="none"/>
        </w:rPr>
      </w:pPr>
      <w:r>
        <w:rPr>
          <w:rFonts w:hint="eastAsia" w:ascii="Times New Roman" w:hAnsi="Times New Roman" w:eastAsia="方正小标宋_GBK"/>
          <w:sz w:val="44"/>
          <w:szCs w:val="44"/>
          <w:highlight w:val="none"/>
          <w:lang w:eastAsia="zh-CN"/>
        </w:rPr>
        <w:t>202</w:t>
      </w:r>
      <w:r>
        <w:rPr>
          <w:rFonts w:hint="eastAsia" w:ascii="Times New Roman" w:hAnsi="Times New Roman" w:eastAsia="方正小标宋_GBK"/>
          <w:sz w:val="44"/>
          <w:szCs w:val="44"/>
          <w:highlight w:val="none"/>
          <w:lang w:val="en-US" w:eastAsia="zh-CN"/>
        </w:rPr>
        <w:t>2</w:t>
      </w:r>
      <w:r>
        <w:rPr>
          <w:rFonts w:hint="eastAsia" w:ascii="Times New Roman" w:hAnsi="Times New Roman" w:eastAsia="方正小标宋_GBK"/>
          <w:sz w:val="44"/>
          <w:szCs w:val="44"/>
          <w:highlight w:val="none"/>
        </w:rPr>
        <w:t>年部门预算编制说明</w:t>
      </w:r>
    </w:p>
    <w:p w14:paraId="08665970">
      <w:pPr>
        <w:spacing w:line="600" w:lineRule="exact"/>
        <w:ind w:firstLine="640" w:firstLineChars="200"/>
        <w:rPr>
          <w:rFonts w:hint="eastAsia" w:ascii="Times New Roman" w:hAnsi="Times New Roman" w:eastAsia="黑体"/>
          <w:sz w:val="32"/>
          <w:szCs w:val="32"/>
          <w:highlight w:val="none"/>
        </w:rPr>
      </w:pPr>
    </w:p>
    <w:p w14:paraId="3A110D31">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一、基本职能及主要工作</w:t>
      </w:r>
    </w:p>
    <w:p w14:paraId="4D96FFFB">
      <w:pPr>
        <w:spacing w:line="600" w:lineRule="exact"/>
        <w:ind w:firstLine="643" w:firstLineChars="200"/>
        <w:rPr>
          <w:rFonts w:hint="eastAsia" w:ascii="Times New Roman" w:hAnsi="Times New Roman" w:eastAsia="楷体_GB2312"/>
          <w:b/>
          <w:sz w:val="32"/>
          <w:szCs w:val="32"/>
          <w:highlight w:val="none"/>
        </w:rPr>
      </w:pPr>
      <w:r>
        <w:rPr>
          <w:rFonts w:hint="eastAsia" w:ascii="Times New Roman" w:hAnsi="Times New Roman" w:eastAsia="楷体_GB2312"/>
          <w:b/>
          <w:sz w:val="32"/>
          <w:szCs w:val="32"/>
          <w:highlight w:val="none"/>
        </w:rPr>
        <w:t>（一）</w:t>
      </w:r>
      <w:r>
        <w:rPr>
          <w:rFonts w:hint="eastAsia" w:ascii="Times New Roman" w:hAnsi="Times New Roman" w:eastAsia="楷体_GB2312"/>
          <w:b/>
          <w:sz w:val="32"/>
          <w:szCs w:val="32"/>
          <w:highlight w:val="none"/>
          <w:lang w:val="en-US" w:eastAsia="zh-CN"/>
        </w:rPr>
        <w:t>区经信局</w:t>
      </w:r>
      <w:r>
        <w:rPr>
          <w:rFonts w:hint="eastAsia" w:ascii="Times New Roman" w:hAnsi="Times New Roman" w:eastAsia="楷体_GB2312"/>
          <w:b/>
          <w:sz w:val="32"/>
          <w:szCs w:val="32"/>
          <w:highlight w:val="none"/>
        </w:rPr>
        <w:t>职能简介。</w:t>
      </w:r>
    </w:p>
    <w:p w14:paraId="638A6771">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贯彻实施国家有关工业经济、信息化和无线电管理的方针、政策和法律、法规，拟订全区有关工业经济、信息化和无线电管理的规范性文件草案，负责本系统、本部门依法行政工作，落实行政执法责任制。组织推动信息化和工业化融合、工业化与城镇化联动，负责推进全区工业结构调整。</w:t>
      </w:r>
    </w:p>
    <w:p w14:paraId="4C22511A">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2.负责拟订新型工业化发展战略和工作措施，协调解决新型工业化进程中的重大问题，组织实施工业强区战略。参与制订国民经济和社会发展规划，负责制定并组织实施工业、信息化相关行业的发展规划、年度计划和产业优惠措施，拟订行业技术规范与行业标准并组织实施，指导行业质量管理工作。</w:t>
      </w:r>
    </w:p>
    <w:p w14:paraId="08FE95B8">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3.监测、分析经济运行态势和质量，建立全区工业经济运行预警机制，拟订中、近期经济运行目标、措施并组织实施，协调解决经济运行中存在的问题。负责电力、成品油、天然气等重要物资综合调控、紧急调度和交通运输协调工作。承办年度工业经济目标责任考核。</w:t>
      </w:r>
    </w:p>
    <w:p w14:paraId="2DFEB401">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4.负责全区企业技术改造推进工作，组织制定并实施全区企业技术改造投资规划和措施，制定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35545946">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5.负责全区企业技术创新体系建设，制定鼓励企业技术创新的政策措施，指导企业技术创新、技术引进、重大装备国产化和重大技术装备研制，编制下达全区企业技术创新项目计划并组织实施，按照规定程序会同有关部门组织企业技术中心申报、认定和建设管理工作。</w:t>
      </w:r>
    </w:p>
    <w:p w14:paraId="2615EF6D">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6.负责全区工业和信息化领域的节能降耗、清洁生产和资源节约与综合利用工作，协调推进工业化与生态环境协调发展中的问题，组织实施相关重大示范项目和新产品、新技术、新工艺、新设备、新材料的推广应用。</w:t>
      </w:r>
    </w:p>
    <w:p w14:paraId="4CDBFB3D">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7.负责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直接融资工作，参与工业企业上市培育工作。</w:t>
      </w:r>
    </w:p>
    <w:p w14:paraId="175CA679">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8.对国家、省、市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综合协调有关部门拟订促进中小企业发展的政策措施，负责推进中小企业服务体系建设；负责对全区工业各行业实施行业管理，制定并组织实施相关政策措施，拟订新材料、节能环保、生物产业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14:paraId="6B8AB90F">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9.统筹推进全区信息化工作，制定措施并组织实施，指导电子政务、企业信息化、电子商务和物联网发展，推动跨行业、跨部门面向社会服务网络的互联互通和信息资源共享；负责全区信息基础设施建设的规划、协调和管理，组织相关部门制订通信管线规划并承担相应的管理工作，协调电信市场涉及社会公共利益的重大事项；组织协调全区信息安全保障体系建设，指导和监督政府部门、重点行业的重要信息系统与信息网络的安全保障工作，指导信息安全防范工作，参与处理网络与信息安全重大事件；统一配置和管理全区无线电频谱资源，依法监督管理无线电台(站)，负责无线电电磁环境保护工作，负责无线电监测、检测和干扰查处，协调军地间和省际间无线电管理相关事宜，维护空中电波秩序，依法组织实施无线电管制。</w:t>
      </w:r>
    </w:p>
    <w:p w14:paraId="349F4642">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10.会同有关部门提出工业和信息化领域对外开放和利用外资的实施建议，参与区域经济合作和承接产业转移工作。指导工业和信息化企业开展对外交流与合作、国际化经营、境外投资及兼并重组。</w:t>
      </w:r>
    </w:p>
    <w:p w14:paraId="3A50FB15">
      <w:pPr>
        <w:spacing w:line="600" w:lineRule="exact"/>
        <w:ind w:firstLine="640" w:firstLineChars="200"/>
        <w:rPr>
          <w:rFonts w:hint="default"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11.承担区政府公布的有关行政审批事项；承办区政府交办的其他事项。</w:t>
      </w:r>
    </w:p>
    <w:p w14:paraId="2C4008DD">
      <w:pPr>
        <w:spacing w:line="600" w:lineRule="exact"/>
        <w:ind w:firstLine="643" w:firstLineChars="200"/>
        <w:rPr>
          <w:rFonts w:hint="eastAsia" w:ascii="Times New Roman" w:hAnsi="Times New Roman" w:eastAsia="楷体_GB2312"/>
          <w:b/>
          <w:sz w:val="32"/>
          <w:szCs w:val="32"/>
          <w:highlight w:val="none"/>
          <w:lang w:eastAsia="zh-CN"/>
        </w:rPr>
      </w:pPr>
      <w:r>
        <w:rPr>
          <w:rFonts w:hint="eastAsia" w:ascii="Times New Roman" w:hAnsi="Times New Roman" w:eastAsia="楷体_GB2312"/>
          <w:b/>
          <w:sz w:val="32"/>
          <w:szCs w:val="32"/>
          <w:highlight w:val="none"/>
        </w:rPr>
        <w:t>（二）</w:t>
      </w:r>
      <w:r>
        <w:rPr>
          <w:rFonts w:hint="eastAsia" w:ascii="Times New Roman" w:hAnsi="Times New Roman" w:eastAsia="楷体_GB2312"/>
          <w:b/>
          <w:sz w:val="32"/>
          <w:szCs w:val="32"/>
          <w:highlight w:val="none"/>
          <w:lang w:val="en-US" w:eastAsia="zh-CN"/>
        </w:rPr>
        <w:t>区经信局</w:t>
      </w:r>
      <w:r>
        <w:rPr>
          <w:rFonts w:hint="eastAsia" w:ascii="Times New Roman" w:hAnsi="Times New Roman" w:eastAsia="楷体_GB2312"/>
          <w:b/>
          <w:sz w:val="32"/>
          <w:szCs w:val="32"/>
          <w:highlight w:val="none"/>
          <w:lang w:eastAsia="zh-CN"/>
        </w:rPr>
        <w:t>202</w:t>
      </w:r>
      <w:r>
        <w:rPr>
          <w:rFonts w:hint="eastAsia" w:ascii="Times New Roman" w:hAnsi="Times New Roman" w:eastAsia="楷体_GB2312"/>
          <w:b/>
          <w:sz w:val="32"/>
          <w:szCs w:val="32"/>
          <w:highlight w:val="none"/>
          <w:lang w:val="en-US" w:eastAsia="zh-CN"/>
        </w:rPr>
        <w:t>2</w:t>
      </w:r>
      <w:r>
        <w:rPr>
          <w:rFonts w:hint="eastAsia" w:ascii="Times New Roman" w:hAnsi="Times New Roman" w:eastAsia="楷体_GB2312"/>
          <w:b/>
          <w:sz w:val="32"/>
          <w:szCs w:val="32"/>
          <w:highlight w:val="none"/>
          <w:lang w:eastAsia="zh-CN"/>
        </w:rPr>
        <w:t>年</w:t>
      </w:r>
      <w:r>
        <w:rPr>
          <w:rFonts w:hint="eastAsia" w:ascii="Times New Roman" w:hAnsi="Times New Roman" w:eastAsia="楷体_GB2312"/>
          <w:b/>
          <w:sz w:val="32"/>
          <w:szCs w:val="32"/>
          <w:highlight w:val="none"/>
        </w:rPr>
        <w:t>重点工作。</w:t>
      </w:r>
    </w:p>
    <w:p w14:paraId="394A06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强化运行调度，确保年度指标平稳。严格落实中</w:t>
      </w:r>
      <w:r>
        <w:rPr>
          <w:rFonts w:hint="eastAsia" w:ascii="Times New Roman" w:hAnsi="Times New Roman" w:eastAsia="仿宋_GB2312"/>
          <w:sz w:val="32"/>
          <w:szCs w:val="32"/>
          <w:highlight w:val="none"/>
          <w:lang w:val="en-US" w:eastAsia="zh-CN"/>
        </w:rPr>
        <w:t>央和</w:t>
      </w:r>
      <w:r>
        <w:rPr>
          <w:rFonts w:hint="eastAsia" w:ascii="Times New Roman" w:hAnsi="Times New Roman" w:eastAsia="仿宋_GB2312"/>
          <w:sz w:val="32"/>
          <w:szCs w:val="32"/>
          <w:highlight w:val="none"/>
        </w:rPr>
        <w:t>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市关于新冠</w:t>
      </w:r>
      <w:r>
        <w:rPr>
          <w:rFonts w:hint="eastAsia" w:ascii="Times New Roman" w:hAnsi="Times New Roman" w:eastAsia="仿宋_GB2312"/>
          <w:sz w:val="32"/>
          <w:szCs w:val="32"/>
          <w:highlight w:val="none"/>
          <w:lang w:val="en-US" w:eastAsia="zh-CN"/>
        </w:rPr>
        <w:t>感染</w:t>
      </w:r>
      <w:r>
        <w:rPr>
          <w:rFonts w:hint="eastAsia" w:ascii="Times New Roman" w:hAnsi="Times New Roman" w:eastAsia="仿宋_GB2312"/>
          <w:sz w:val="32"/>
          <w:szCs w:val="32"/>
          <w:highlight w:val="none"/>
        </w:rPr>
        <w:t>疫情防控相关措施，消除疫情后遗症影响，确保疫情防控和经济发展并行推进。坚持“以月保季、以季保年”的调度机制，实行区委、区政府主要领导亲自抓、分管领导具体抓、相关部门和工业园区协力抓工业发展的工作格局，全力解决工业运行、园区建设、企业发展、项目推进中的重大问题。扎实开展“人民阅卷·广安行动”等活动，进一步完善落实企业对口帮扶机制；建立工作专班，强化企业风险防控，有效化解矛盾问题，促进企业健康发展。全力解决企业在生产要素、产业链协同、企业用工、市场错位、市场拓展等方面重难点问题，确保企业轻装上阵。建立年度规上工业企业培育库，保证年度工作有方向。建立重点产业产值和增加值增速、用电量、增值税收、综合能耗等主要指标监测机制，及时分析预警，确保每月经济数据及各个季度工业目标数据平稳达标。</w:t>
      </w:r>
    </w:p>
    <w:p w14:paraId="7D8E9D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强化转型升级，提升市场竞争力。一是强化自主创新能力，提升科技创新力。瞄准高新技术产业园区建设目标，实施高新技术企业倍增计划，支持龙头企业、骨干企业建立省市级工程技术中心、产业技术创新联盟等，新增省级技术中心1个，市级技术中心2个。全力对接博士专家广安行、院士（专家）站挂牌建设等，有效利用高校科研院所的人才、技术力量，帮助解决企业技术创新中的难题，突破技术瓶颈，逐步形成“院士（专家）引领、产学研结合”的科技创新模式。二是强化自主知识产权、品牌发展，提升市场竞争力。鼓励企业积极申报发明、实用新型等专利技术知识产权及中省驰名品牌，踊跃争取省、市科技类创新专项计划，提升科技创新项目在申报中的比例，同时提高科技成果创新转化比例，力争年转化比例提高10%。三是强化重点企业培育，做大重点企业总量。树立“龙头企业”标杆效应，引领产业集聚发展，提升企业两化融合效能，培植一批规模大、竞争力强、产业引领性的企业。做大科技型小微企业总量，按照“四新”企业的要求加快“专精</w:t>
      </w:r>
      <w:r>
        <w:rPr>
          <w:rFonts w:hint="eastAsia" w:ascii="Times New Roman" w:hAnsi="Times New Roman" w:eastAsia="仿宋_GB2312"/>
          <w:sz w:val="32"/>
          <w:szCs w:val="32"/>
          <w:highlight w:val="none"/>
          <w:lang w:val="en-US" w:eastAsia="zh-CN"/>
        </w:rPr>
        <w:t>特</w:t>
      </w:r>
      <w:r>
        <w:rPr>
          <w:rFonts w:hint="eastAsia" w:ascii="Times New Roman" w:hAnsi="Times New Roman" w:eastAsia="仿宋_GB2312"/>
          <w:sz w:val="32"/>
          <w:szCs w:val="32"/>
          <w:highlight w:val="none"/>
        </w:rPr>
        <w:t>新、高成长型、行业‘小巨人’”企业培育，力争新培育省级重点工业企业5户，累计达到20户。</w:t>
      </w:r>
    </w:p>
    <w:p w14:paraId="7926FF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紧盯重大项目，提升产业发展后劲。一是围绕产业链缺链项目，补齐并成型产业链，轻工服装产业链中纺织印染、洗水环节的项目仍有缺失，在已招商签约的情况下加快盈峰纺织、民康印染2大产业链前端项目推进，确保产业尽快成链；同时围绕智能家居产业链引进前置板材、五金配件等重点项目。二是加快已有重点建设项目，做大产业规模。实现全流程跟踪服务指导</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十四五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期间的重点建设项目，紧盯才府玻璃、艾民儿制鞋产业园、新百伦鞋业产业园、昌兴水泥20MW光伏发电项目、鑫和家居产业园、建平集团产业园、智能防盗门产业园等15个项目，争取每年竣工投产3—5个项目，增加工业产业贡献值。</w:t>
      </w:r>
    </w:p>
    <w:p w14:paraId="229F4A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提升服务水平，增添企业发展信心。一是改变服务观念，创新管理服务体制。进一步细化简政放权，推行“行政管理服务化、园区服务公司化、公司运营实体化、绩效考核企业化”的园区营运模式；进一步强化区政府与市级及以上国企、园区与区属国企的合作力度，密切关注企业融资等重难点问题，及时解决企业生产经营中的用电、配套等要素问题；二是建立产业衔接，实现产业协调发展。依托现有的服装、制鞋、家居、面料等生产企业，打造以“产业园+互联网”为基础、“智慧园区”为核心的“大数据平台”，实现区域轻工产品“数据化”；同时撬动西南地区的优质轻工产品资源，打造西部地区、川东北片区最大的轻工产品批发地、集散地，实现轻工生产型企业与商贸业并行发展。三是优化政策落地，降低企业运营成本。进一步完善促进前锋工业发展激励政策措施以及各项单项产业发展优惠政策，每年定期足额兑现区级优惠政策，同时积极帮助企业争取上级专项优惠政策，降低企业的运行成本。</w:t>
      </w:r>
    </w:p>
    <w:p w14:paraId="66428F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狠抓数字化转型，带动产业结构升级。一是持续推进新型基础设施建设。按照“三圈层、两步走”的总体思路，合理统筹全区5G通信基础设施规划和建设，加快实现城镇的5G网络全覆盖，督促通信企业严格建设管理，全面落实5G基础设施建设的共建共享工作要求，合力推动5G高质量发展，进一步提升5G网络在工业领域的普及应用。二是加快推动华蓥山通讯基础设施建设。为支持华蓥山康养旅游区发展，督促通信企业加速推进华蓥山康养旅游区及重点道路通信建设工作，及时掌握建设推进情况，强化沟通协调，全力保障重点项目通信信号覆盖。三是支持企业加大智能化建设。支持企业实施智能化升级改造，加快推进工业大数据、工业自动化无线设备、数字化车间、智能生产线、智慧工厂建设，推动工业数字化与5G、人工智能、区块链等新技术新产业融合发展，积极组织企业开展智能化建设项目申报，争取符合条件的企业获得资金奖励补助，增强企业发展信心，进一步提高工业信息化智能化水平，助力企业转型升级。</w:t>
      </w:r>
    </w:p>
    <w:p w14:paraId="33ACE0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狠抓安全监管，落实环保职责。一是强化安全监管。进一步加强工业企业安全生产</w:t>
      </w:r>
      <w:r>
        <w:rPr>
          <w:rFonts w:hint="eastAsia" w:ascii="Times New Roman" w:hAnsi="Times New Roman" w:eastAsia="仿宋_GB2312"/>
          <w:sz w:val="32"/>
          <w:szCs w:val="32"/>
          <w:highlight w:val="none"/>
          <w:lang w:val="en-US" w:eastAsia="zh-CN"/>
        </w:rPr>
        <w:t>监督</w:t>
      </w:r>
      <w:bookmarkStart w:id="0" w:name="_GoBack"/>
      <w:bookmarkEnd w:id="0"/>
      <w:r>
        <w:rPr>
          <w:rFonts w:hint="eastAsia" w:ascii="Times New Roman" w:hAnsi="Times New Roman" w:eastAsia="仿宋_GB2312"/>
          <w:sz w:val="32"/>
          <w:szCs w:val="32"/>
          <w:highlight w:val="none"/>
        </w:rPr>
        <w:t>管理，督促企业落实主体责任，确保全年不发生较大及以上等级事故，避免发生一般事故。二是落实环保职责。按照中</w:t>
      </w:r>
      <w:r>
        <w:rPr>
          <w:rFonts w:hint="eastAsia" w:ascii="Times New Roman" w:hAnsi="Times New Roman" w:eastAsia="仿宋_GB2312"/>
          <w:sz w:val="32"/>
          <w:szCs w:val="32"/>
          <w:highlight w:val="none"/>
          <w:lang w:val="en-US" w:eastAsia="zh-CN"/>
        </w:rPr>
        <w:t>央和</w:t>
      </w:r>
      <w:r>
        <w:rPr>
          <w:rFonts w:hint="eastAsia" w:ascii="Times New Roman" w:hAnsi="Times New Roman" w:eastAsia="仿宋_GB2312"/>
          <w:sz w:val="32"/>
          <w:szCs w:val="32"/>
          <w:highlight w:val="none"/>
        </w:rPr>
        <w:t>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市环保督察检查考核标准，全面摸清工业领域环境污染问题，按工作部署要求开展大排查大整治专项行动，重点督促水泥企业错峰生产，防治“散乱污”企业死灰复燃，持续开展淘汰落后产能设备，禁止高耗能重污染技改项目进入。</w:t>
      </w:r>
    </w:p>
    <w:p w14:paraId="5167AC0F">
      <w:pPr>
        <w:spacing w:line="600" w:lineRule="exact"/>
        <w:ind w:firstLine="640" w:firstLineChars="200"/>
        <w:rPr>
          <w:rFonts w:hint="eastAsia" w:ascii="Times New Roman" w:hAnsi="Times New Roman" w:eastAsia="黑体" w:cs="Times New Roman"/>
          <w:kern w:val="0"/>
          <w:sz w:val="32"/>
          <w:szCs w:val="32"/>
          <w:highlight w:val="none"/>
          <w:lang w:val="en-US" w:eastAsia="zh-CN" w:bidi="ar"/>
        </w:rPr>
      </w:pPr>
      <w:r>
        <w:rPr>
          <w:rFonts w:hint="eastAsia" w:ascii="Times New Roman" w:hAnsi="Times New Roman" w:eastAsia="黑体" w:cs="Times New Roman"/>
          <w:kern w:val="0"/>
          <w:sz w:val="32"/>
          <w:szCs w:val="32"/>
          <w:highlight w:val="none"/>
          <w:lang w:val="en-US" w:eastAsia="zh-CN" w:bidi="ar"/>
        </w:rPr>
        <w:t>二、部门预算单位构成情况</w:t>
      </w:r>
    </w:p>
    <w:p w14:paraId="151245F2">
      <w:pPr>
        <w:spacing w:line="600" w:lineRule="exact"/>
        <w:ind w:firstLine="660" w:firstLineChars="200"/>
        <w:rPr>
          <w:rFonts w:ascii="Times New Roman" w:hAnsi="Times New Roman" w:eastAsia="仿宋_GB2312"/>
          <w:sz w:val="32"/>
          <w:szCs w:val="32"/>
          <w:highlight w:val="none"/>
        </w:rPr>
      </w:pPr>
      <w:r>
        <w:rPr>
          <w:rFonts w:hint="default" w:ascii="Times New Roman" w:hAnsi="Times New Roman" w:eastAsia="方正仿宋_GBK" w:cs="Times New Roman"/>
          <w:sz w:val="33"/>
          <w:szCs w:val="33"/>
        </w:rPr>
        <w:t>区经信局属一级预算单位，无下属二级预算单位。</w:t>
      </w:r>
      <w:r>
        <w:rPr>
          <w:rFonts w:hint="default" w:ascii="Times New Roman" w:hAnsi="Times New Roman" w:eastAsia="方正仿宋_GBK" w:cs="Times New Roman"/>
          <w:sz w:val="33"/>
          <w:szCs w:val="33"/>
          <w:lang w:val="en-US" w:eastAsia="zh-CN"/>
        </w:rPr>
        <w:t>现设三股一室即经济运行股、产业与军民融合发展股、安全环保与应急管理股和办公室。广安市前锋区经济和信息化局总编制9名，其中行政编制8名，工勤编制1名；实有人数</w:t>
      </w:r>
      <w:r>
        <w:rPr>
          <w:rFonts w:hint="eastAsia"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lang w:val="en-US" w:eastAsia="zh-CN"/>
        </w:rPr>
        <w:t>名。广安市前锋区经济和信息化局下属事业单位1个即区经贸服务中心。区经贸服务中心编制数8名，实有人数6名。经贸服务中心未独立核算，未纳入202</w:t>
      </w: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lang w:val="en-US" w:eastAsia="zh-CN"/>
        </w:rPr>
        <w:t>年度部门</w:t>
      </w:r>
      <w:r>
        <w:rPr>
          <w:rFonts w:hint="eastAsia" w:ascii="Times New Roman" w:hAnsi="Times New Roman" w:eastAsia="方正仿宋_GBK" w:cs="Times New Roman"/>
          <w:sz w:val="33"/>
          <w:szCs w:val="33"/>
          <w:lang w:val="en-US" w:eastAsia="zh-CN"/>
        </w:rPr>
        <w:t>预</w:t>
      </w:r>
      <w:r>
        <w:rPr>
          <w:rFonts w:hint="default" w:ascii="Times New Roman" w:hAnsi="Times New Roman" w:eastAsia="方正仿宋_GBK" w:cs="Times New Roman"/>
          <w:sz w:val="33"/>
          <w:szCs w:val="33"/>
          <w:lang w:val="en-US" w:eastAsia="zh-CN"/>
        </w:rPr>
        <w:t>算编制范围。</w:t>
      </w:r>
    </w:p>
    <w:p w14:paraId="2A107D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、收支</w:t>
      </w:r>
      <w:r>
        <w:rPr>
          <w:rFonts w:hint="eastAsia" w:ascii="Times New Roman" w:hAnsi="Times New Roman" w:eastAsia="黑体" w:cs="Times New Roman"/>
          <w:sz w:val="32"/>
          <w:szCs w:val="32"/>
          <w:highlight w:val="none"/>
          <w:lang w:eastAsia="zh-CN"/>
        </w:rPr>
        <w:t>预算情况</w:t>
      </w:r>
    </w:p>
    <w:p w14:paraId="7D4A2F0E">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rPr>
        <w:t>所有收入和支出均纳入部门预算管理。收入包括：一般公共预算拨款收入；支出包括：</w:t>
      </w:r>
      <w:r>
        <w:rPr>
          <w:rFonts w:hint="eastAsia" w:ascii="Times New Roman" w:hAnsi="Times New Roman" w:eastAsia="仿宋_GB2312" w:cs="Times New Roman"/>
          <w:sz w:val="32"/>
          <w:szCs w:val="32"/>
          <w:highlight w:val="none"/>
          <w:lang w:val="en-US" w:eastAsia="zh-CN"/>
        </w:rPr>
        <w:t>社会保障和就业</w:t>
      </w:r>
      <w:r>
        <w:rPr>
          <w:rFonts w:hint="eastAsia"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卫生健康</w:t>
      </w:r>
      <w:r>
        <w:rPr>
          <w:rFonts w:hint="eastAsia"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eastAsia="zh-CN"/>
        </w:rPr>
        <w:t>、商业服务业等支出、住房保障支出</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411.35</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lang w:val="en-US" w:eastAsia="zh-CN"/>
        </w:rPr>
        <w:t>271.58</w:t>
      </w:r>
      <w:r>
        <w:rPr>
          <w:rFonts w:hint="eastAsia" w:ascii="Times New Roman" w:hAnsi="Times New Roman" w:eastAsia="仿宋_GB2312" w:cs="Times New Roman"/>
          <w:sz w:val="32"/>
          <w:szCs w:val="32"/>
          <w:highlight w:val="none"/>
        </w:rPr>
        <w:t>万元，主要原因是20</w:t>
      </w:r>
      <w:r>
        <w:rPr>
          <w:rFonts w:hint="eastAsia" w:ascii="Times New Roman" w:hAnsi="Times New Roman" w:eastAsia="仿宋_GB2312" w:cs="Times New Roman"/>
          <w:sz w:val="32"/>
          <w:szCs w:val="32"/>
          <w:highlight w:val="none"/>
          <w:lang w:val="en-US" w:eastAsia="zh-CN"/>
        </w:rPr>
        <w:t>21</w:t>
      </w:r>
      <w:r>
        <w:rPr>
          <w:rFonts w:hint="eastAsia" w:ascii="Times New Roman" w:hAnsi="Times New Roman" w:eastAsia="仿宋_GB2312" w:cs="Times New Roman"/>
          <w:sz w:val="32"/>
          <w:szCs w:val="32"/>
          <w:highlight w:val="none"/>
        </w:rPr>
        <w:t>年城乡居民用电“同城同价”补贴资金</w:t>
      </w:r>
      <w:r>
        <w:rPr>
          <w:rFonts w:hint="eastAsia" w:ascii="Times New Roman" w:hAnsi="Times New Roman" w:eastAsia="仿宋_GB2312" w:cs="Times New Roman"/>
          <w:sz w:val="32"/>
          <w:szCs w:val="32"/>
          <w:highlight w:val="none"/>
          <w:lang w:val="en-US" w:eastAsia="zh-CN"/>
        </w:rPr>
        <w:t>纳入年初预算</w:t>
      </w:r>
      <w:r>
        <w:rPr>
          <w:rFonts w:hint="eastAsia" w:ascii="Times New Roman" w:hAnsi="Times New Roman" w:eastAsia="仿宋_GB2312" w:cs="Times New Roman"/>
          <w:sz w:val="32"/>
          <w:szCs w:val="32"/>
          <w:highlight w:val="none"/>
        </w:rPr>
        <w:t>。</w:t>
      </w:r>
    </w:p>
    <w:p w14:paraId="3720415D">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（一）收入预算情况</w:t>
      </w:r>
    </w:p>
    <w:p w14:paraId="269A44C5">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411.35</w:t>
      </w:r>
      <w:r>
        <w:rPr>
          <w:rFonts w:hint="eastAsia"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val="en-US" w:eastAsia="zh-CN"/>
        </w:rPr>
        <w:t>411.35</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w:t>
      </w:r>
    </w:p>
    <w:p w14:paraId="5FFAE1F2">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（二）支出预算情况</w:t>
      </w:r>
    </w:p>
    <w:p w14:paraId="187157A4">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411.35</w:t>
      </w:r>
      <w:r>
        <w:rPr>
          <w:rFonts w:hint="eastAsia"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149.35</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36.31</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262</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63.69</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14:paraId="61BDC134">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eastAsia" w:ascii="Times New Roman" w:hAnsi="Times New Roman" w:eastAsia="黑体" w:cs="Times New Roman"/>
          <w:sz w:val="32"/>
          <w:szCs w:val="32"/>
          <w:highlight w:val="none"/>
        </w:rPr>
        <w:t>财政拨款收支</w:t>
      </w:r>
      <w:r>
        <w:rPr>
          <w:rFonts w:hint="eastAsia" w:ascii="Times New Roman" w:hAnsi="Times New Roman" w:eastAsia="黑体" w:cs="Times New Roman"/>
          <w:sz w:val="32"/>
          <w:szCs w:val="32"/>
          <w:highlight w:val="none"/>
          <w:lang w:eastAsia="zh-CN"/>
        </w:rPr>
        <w:t>预算情况</w:t>
      </w:r>
    </w:p>
    <w:p w14:paraId="28676B41">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411.35</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271.58</w:t>
      </w:r>
      <w:r>
        <w:rPr>
          <w:rFonts w:hint="eastAsia" w:ascii="Times New Roman" w:hAnsi="Times New Roman" w:eastAsia="仿宋_GB2312" w:cs="Times New Roman"/>
          <w:sz w:val="32"/>
          <w:szCs w:val="32"/>
          <w:highlight w:val="none"/>
        </w:rPr>
        <w:t>万元，主要原因是20</w:t>
      </w:r>
      <w:r>
        <w:rPr>
          <w:rFonts w:hint="eastAsia" w:ascii="Times New Roman" w:hAnsi="Times New Roman" w:eastAsia="仿宋_GB2312" w:cs="Times New Roman"/>
          <w:sz w:val="32"/>
          <w:szCs w:val="32"/>
          <w:highlight w:val="none"/>
          <w:lang w:val="en-US" w:eastAsia="zh-CN"/>
        </w:rPr>
        <w:t>21</w:t>
      </w:r>
      <w:r>
        <w:rPr>
          <w:rFonts w:hint="eastAsia" w:ascii="Times New Roman" w:hAnsi="Times New Roman" w:eastAsia="仿宋_GB2312" w:cs="Times New Roman"/>
          <w:sz w:val="32"/>
          <w:szCs w:val="32"/>
          <w:highlight w:val="none"/>
        </w:rPr>
        <w:t>年城乡居民用电“同城同价”补贴资金</w:t>
      </w:r>
      <w:r>
        <w:rPr>
          <w:rFonts w:hint="eastAsia" w:ascii="Times New Roman" w:hAnsi="Times New Roman" w:eastAsia="仿宋_GB2312" w:cs="Times New Roman"/>
          <w:sz w:val="32"/>
          <w:szCs w:val="32"/>
          <w:highlight w:val="none"/>
          <w:lang w:val="en-US" w:eastAsia="zh-CN"/>
        </w:rPr>
        <w:t>纳入年初预算</w:t>
      </w:r>
      <w:r>
        <w:rPr>
          <w:rFonts w:hint="eastAsia" w:ascii="Times New Roman" w:hAnsi="Times New Roman" w:eastAsia="仿宋_GB2312" w:cs="Times New Roman"/>
          <w:sz w:val="32"/>
          <w:szCs w:val="32"/>
          <w:highlight w:val="none"/>
        </w:rPr>
        <w:t>。</w:t>
      </w:r>
    </w:p>
    <w:p w14:paraId="4BDEC5E9">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411.35</w:t>
      </w:r>
      <w:r>
        <w:rPr>
          <w:rFonts w:hint="eastAsia" w:ascii="Times New Roman" w:hAnsi="Times New Roman" w:eastAsia="仿宋_GB2312" w:cs="Times New Roman"/>
          <w:sz w:val="32"/>
          <w:szCs w:val="32"/>
          <w:highlight w:val="none"/>
        </w:rPr>
        <w:t>万元；支出包括：社会保障和就业支出</w:t>
      </w:r>
      <w:r>
        <w:rPr>
          <w:rFonts w:hint="eastAsia" w:ascii="Times New Roman" w:hAnsi="Times New Roman" w:eastAsia="仿宋_GB2312" w:cs="Times New Roman"/>
          <w:sz w:val="32"/>
          <w:szCs w:val="32"/>
          <w:highlight w:val="none"/>
          <w:lang w:val="en-US" w:eastAsia="zh-CN"/>
        </w:rPr>
        <w:t>13.75</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卫生健康</w:t>
      </w:r>
      <w:r>
        <w:rPr>
          <w:rFonts w:hint="eastAsia"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6.77</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商业服务业等支出380.51万元、 住房保障支出10.32万元。</w:t>
      </w:r>
    </w:p>
    <w:p w14:paraId="3841634E">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eastAsia" w:ascii="Times New Roman" w:hAnsi="Times New Roman" w:eastAsia="黑体" w:cs="Times New Roman"/>
          <w:sz w:val="32"/>
          <w:szCs w:val="32"/>
          <w:highlight w:val="none"/>
        </w:rPr>
        <w:t>一般公共预算</w:t>
      </w:r>
      <w:r>
        <w:rPr>
          <w:rFonts w:hint="eastAsia" w:ascii="Times New Roman" w:hAnsi="Times New Roman" w:eastAsia="黑体" w:cs="Times New Roman"/>
          <w:sz w:val="32"/>
          <w:szCs w:val="32"/>
          <w:highlight w:val="none"/>
          <w:lang w:eastAsia="zh-CN"/>
        </w:rPr>
        <w:t>当年拨款情况</w:t>
      </w:r>
    </w:p>
    <w:p w14:paraId="2AA685A7">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（一）一般公共预算当年拨款规模变化情况</w:t>
      </w:r>
    </w:p>
    <w:p w14:paraId="60EF4E9E">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411.35</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u w:val="none"/>
        </w:rPr>
        <w:t>增加</w:t>
      </w:r>
      <w:r>
        <w:rPr>
          <w:rFonts w:hint="eastAsia" w:ascii="Times New Roman" w:hAnsi="Times New Roman" w:eastAsia="仿宋_GB2312" w:cs="Times New Roman"/>
          <w:sz w:val="32"/>
          <w:szCs w:val="32"/>
          <w:highlight w:val="none"/>
          <w:u w:val="none"/>
          <w:lang w:val="en-US" w:eastAsia="zh-CN"/>
        </w:rPr>
        <w:t>271.58</w:t>
      </w:r>
      <w:r>
        <w:rPr>
          <w:rFonts w:hint="eastAsia" w:ascii="Times New Roman" w:hAnsi="Times New Roman" w:eastAsia="仿宋_GB2312" w:cs="Times New Roman"/>
          <w:sz w:val="32"/>
          <w:szCs w:val="32"/>
          <w:highlight w:val="none"/>
        </w:rPr>
        <w:t>万元，主要原因是2021年城乡居民用电“同城同价”补贴资金纳入年初预算</w:t>
      </w:r>
      <w:r>
        <w:rPr>
          <w:rFonts w:hint="eastAsia" w:ascii="Times New Roman" w:hAnsi="Times New Roman" w:eastAsia="仿宋_GB2312" w:cs="Times New Roman"/>
          <w:sz w:val="32"/>
          <w:szCs w:val="32"/>
          <w:highlight w:val="none"/>
          <w:lang w:eastAsia="zh-CN"/>
        </w:rPr>
        <w:t>。</w:t>
      </w:r>
    </w:p>
    <w:p w14:paraId="76C33B89">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（二）一般公共预算当年拨款结构情况</w:t>
      </w:r>
    </w:p>
    <w:p w14:paraId="3B8A36E2">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机关事业单位基本养老保险缴费支出</w:t>
      </w:r>
      <w:r>
        <w:rPr>
          <w:rFonts w:hint="eastAsia" w:ascii="Times New Roman" w:hAnsi="Times New Roman" w:eastAsia="仿宋_GB2312" w:cs="Times New Roman"/>
          <w:sz w:val="32"/>
          <w:szCs w:val="32"/>
          <w:highlight w:val="none"/>
          <w:lang w:val="en-US" w:eastAsia="zh-CN"/>
        </w:rPr>
        <w:t>13.75</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3.34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行政单位医疗</w:t>
      </w:r>
      <w:r>
        <w:rPr>
          <w:rFonts w:hint="eastAsia"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3.26</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0.79</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事业单位医疗支出2.51万元，占0.61%；公务员医疗补助支出1.00万元，占0.24%；行政运行支出82.15万元，占19.97%；事业运行支出36.35万元，占8.84%；其他商业流通事务支出262万元，占63.69%；住房公积金支出10.32万元，占2.51%。</w:t>
      </w:r>
    </w:p>
    <w:p w14:paraId="468594D2">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（三）一般公共预算当年拨款具体使用情况</w:t>
      </w:r>
    </w:p>
    <w:p w14:paraId="5760BAA2">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社会保障和就业支出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行政事业单位养老支出</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机关事业单位基本养老保险缴费支出</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13.75</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行政事业人员单位基本养老保险缴费</w:t>
      </w:r>
      <w:r>
        <w:rPr>
          <w:rFonts w:hint="eastAsia" w:ascii="Times New Roman" w:hAnsi="Times New Roman" w:eastAsia="仿宋_GB2312" w:cs="Times New Roman"/>
          <w:sz w:val="32"/>
          <w:szCs w:val="32"/>
          <w:highlight w:val="none"/>
        </w:rPr>
        <w:t>。</w:t>
      </w:r>
    </w:p>
    <w:p w14:paraId="1A819D6D">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行政单位医疗</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3.26</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行政人员单位基本医疗保险缴费</w:t>
      </w:r>
      <w:r>
        <w:rPr>
          <w:rFonts w:hint="eastAsia" w:ascii="Times New Roman" w:hAnsi="Times New Roman" w:eastAsia="仿宋_GB2312" w:cs="Times New Roman"/>
          <w:sz w:val="32"/>
          <w:szCs w:val="32"/>
          <w:highlight w:val="none"/>
        </w:rPr>
        <w:t>。</w:t>
      </w:r>
    </w:p>
    <w:p w14:paraId="0AEC1860">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事业单位医疗</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2.51</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事业人员单位基本医疗保险费</w:t>
      </w:r>
      <w:r>
        <w:rPr>
          <w:rFonts w:hint="eastAsia" w:ascii="Times New Roman" w:hAnsi="Times New Roman" w:eastAsia="仿宋_GB2312" w:cs="Times New Roman"/>
          <w:sz w:val="32"/>
          <w:szCs w:val="32"/>
          <w:highlight w:val="none"/>
        </w:rPr>
        <w:t>。</w:t>
      </w:r>
    </w:p>
    <w:p w14:paraId="26B56795">
      <w:pPr>
        <w:suppressAutoHyphens/>
        <w:bidi w:val="0"/>
        <w:spacing w:line="58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卫生健康支出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行政事业单位医疗</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公务员医疗补助</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公务员医疗补助经费</w:t>
      </w:r>
      <w:r>
        <w:rPr>
          <w:rFonts w:hint="eastAsia" w:ascii="Times New Roman" w:hAnsi="Times New Roman" w:eastAsia="仿宋_GB2312" w:cs="Times New Roman"/>
          <w:sz w:val="32"/>
          <w:szCs w:val="32"/>
          <w:highlight w:val="none"/>
        </w:rPr>
        <w:t>。</w:t>
      </w:r>
    </w:p>
    <w:p w14:paraId="2A314417">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商业服务业等支出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商业流通事务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行政运行</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82.15</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行政单位的基本支出</w:t>
      </w:r>
      <w:r>
        <w:rPr>
          <w:rFonts w:hint="eastAsia" w:ascii="Times New Roman" w:hAnsi="Times New Roman" w:eastAsia="仿宋_GB2312" w:cs="Times New Roman"/>
          <w:sz w:val="32"/>
          <w:szCs w:val="32"/>
          <w:highlight w:val="none"/>
        </w:rPr>
        <w:t>。</w:t>
      </w:r>
    </w:p>
    <w:p w14:paraId="4CE4EB04">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商业服务业等支出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商业流通事务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事业运行</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36.35</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事业单位的基本支出</w:t>
      </w:r>
      <w:r>
        <w:rPr>
          <w:rFonts w:hint="eastAsia" w:ascii="Times New Roman" w:hAnsi="Times New Roman" w:eastAsia="仿宋_GB2312" w:cs="Times New Roman"/>
          <w:sz w:val="32"/>
          <w:szCs w:val="32"/>
          <w:highlight w:val="none"/>
        </w:rPr>
        <w:t>。</w:t>
      </w:r>
    </w:p>
    <w:p w14:paraId="735678F6">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商业服务业等支出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商业流通事务</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其他商业流通事务支出</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262</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2021年度城乡居民用电“同城同价”补贴专项资金</w:t>
      </w:r>
      <w:r>
        <w:rPr>
          <w:rFonts w:hint="eastAsia" w:ascii="Times New Roman" w:hAnsi="Times New Roman" w:eastAsia="仿宋_GB2312" w:cs="Times New Roman"/>
          <w:sz w:val="32"/>
          <w:szCs w:val="32"/>
          <w:highlight w:val="none"/>
        </w:rPr>
        <w:t>。</w:t>
      </w:r>
    </w:p>
    <w:p w14:paraId="338B1013">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住房保障支出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val="en-US" w:eastAsia="zh-CN"/>
        </w:rPr>
        <w:t>住房改革支出</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val="en-US" w:eastAsia="zh-CN"/>
        </w:rPr>
        <w:t>住房公积金</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10.32</w:t>
      </w:r>
      <w:r>
        <w:rPr>
          <w:rFonts w:hint="eastAsia" w:ascii="Times New Roman" w:hAnsi="Times New Roman" w:eastAsia="仿宋_GB2312" w:cs="Times New Roman"/>
          <w:sz w:val="32"/>
          <w:szCs w:val="32"/>
          <w:highlight w:val="none"/>
        </w:rPr>
        <w:t>万元，主要用于：行政事业人员单位</w:t>
      </w:r>
      <w:r>
        <w:rPr>
          <w:rFonts w:hint="eastAsia" w:ascii="Times New Roman" w:hAnsi="Times New Roman" w:eastAsia="仿宋_GB2312" w:cs="Times New Roman"/>
          <w:sz w:val="32"/>
          <w:szCs w:val="32"/>
          <w:highlight w:val="none"/>
          <w:lang w:val="en-US" w:eastAsia="zh-CN"/>
        </w:rPr>
        <w:t>住房公积金支出</w:t>
      </w:r>
      <w:r>
        <w:rPr>
          <w:rFonts w:hint="eastAsia" w:ascii="Times New Roman" w:hAnsi="Times New Roman" w:eastAsia="仿宋_GB2312" w:cs="Times New Roman"/>
          <w:sz w:val="32"/>
          <w:szCs w:val="32"/>
          <w:highlight w:val="none"/>
        </w:rPr>
        <w:t>。</w:t>
      </w:r>
    </w:p>
    <w:p w14:paraId="75AC4D1B">
      <w:pPr>
        <w:numPr>
          <w:ilvl w:val="0"/>
          <w:numId w:val="0"/>
        </w:num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rPr>
        <w:t>一般公共预算基本支出</w:t>
      </w:r>
      <w:r>
        <w:rPr>
          <w:rFonts w:hint="eastAsia" w:ascii="Times New Roman" w:hAnsi="Times New Roman" w:eastAsia="黑体" w:cs="Times New Roman"/>
          <w:sz w:val="32"/>
          <w:szCs w:val="32"/>
          <w:highlight w:val="none"/>
          <w:lang w:eastAsia="zh-CN"/>
        </w:rPr>
        <w:t>情况说明</w:t>
      </w:r>
    </w:p>
    <w:p w14:paraId="12C2331A">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149.35</w:t>
      </w:r>
      <w:r>
        <w:rPr>
          <w:rFonts w:hint="eastAsia" w:ascii="Times New Roman" w:hAnsi="Times New Roman" w:eastAsia="仿宋_GB2312" w:cs="Times New Roman"/>
          <w:sz w:val="32"/>
          <w:szCs w:val="32"/>
          <w:highlight w:val="none"/>
        </w:rPr>
        <w:t>万元，其中：</w:t>
      </w:r>
    </w:p>
    <w:p w14:paraId="62F7DFB4">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126.85</w:t>
      </w:r>
      <w:r>
        <w:rPr>
          <w:rFonts w:hint="eastAsia"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sz w:val="32"/>
          <w:szCs w:val="32"/>
          <w:highlight w:val="none"/>
          <w:lang w:val="en-US" w:eastAsia="zh-CN"/>
        </w:rPr>
        <w:t>绩效工资、机关事业单位基本养老保险缴费、职工基本医疗保险缴费、公务员医疗补助缴费、其他社会保障缴费、住房公积金、其他工资福利支出、医疗费补助。</w:t>
      </w:r>
    </w:p>
    <w:p w14:paraId="6795D548">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22.50</w:t>
      </w:r>
      <w:r>
        <w:rPr>
          <w:rFonts w:hint="eastAsia" w:ascii="Times New Roman" w:hAnsi="Times New Roman" w:eastAsia="仿宋_GB2312" w:cs="Times New Roman"/>
          <w:sz w:val="32"/>
          <w:szCs w:val="32"/>
          <w:highlight w:val="none"/>
        </w:rPr>
        <w:t>万元，主要包括：办公费、印刷费、</w:t>
      </w:r>
      <w:r>
        <w:rPr>
          <w:rFonts w:hint="eastAsia" w:ascii="Times New Roman" w:hAnsi="Times New Roman" w:eastAsia="仿宋_GB2312" w:cs="Times New Roman"/>
          <w:sz w:val="32"/>
          <w:szCs w:val="32"/>
          <w:highlight w:val="none"/>
          <w:lang w:val="en-US" w:eastAsia="zh-CN"/>
        </w:rPr>
        <w:t>水费、电费、邮电费、差旅费、会议费、培训费、公务接待费、工会经费、福利费、其他交通费用</w:t>
      </w:r>
      <w:r>
        <w:rPr>
          <w:rFonts w:hint="eastAsia" w:ascii="Times New Roman" w:hAnsi="Times New Roman" w:eastAsia="仿宋_GB2312" w:cs="Times New Roman"/>
          <w:sz w:val="32"/>
          <w:szCs w:val="32"/>
          <w:highlight w:val="none"/>
          <w:lang w:eastAsia="zh-CN"/>
        </w:rPr>
        <w:t>。</w:t>
      </w:r>
    </w:p>
    <w:p w14:paraId="3579F88A">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eastAsia" w:ascii="Times New Roman" w:hAnsi="Times New Roman" w:eastAsia="黑体" w:cs="Times New Roman"/>
          <w:sz w:val="32"/>
          <w:szCs w:val="32"/>
          <w:highlight w:val="none"/>
        </w:rPr>
        <w:t>“三公”经费财政拨款预算安排情况说明</w:t>
      </w:r>
    </w:p>
    <w:p w14:paraId="3801AF2E">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0.26</w:t>
      </w:r>
      <w:r>
        <w:rPr>
          <w:rFonts w:hint="eastAsia"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0.26</w:t>
      </w:r>
      <w:r>
        <w:rPr>
          <w:rFonts w:hint="eastAsia"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14:paraId="62F0AE79">
      <w:pPr>
        <w:suppressAutoHyphens/>
        <w:bidi w:val="0"/>
        <w:spacing w:line="580" w:lineRule="exact"/>
        <w:ind w:firstLine="643" w:firstLineChars="200"/>
        <w:rPr>
          <w:rFonts w:hint="eastAsia" w:ascii="Times New Roman" w:hAnsi="Times New Roman" w:eastAsia="仿宋_GB2312" w:cs="Times New Roman"/>
          <w:sz w:val="32"/>
          <w:szCs w:val="32"/>
          <w:highlight w:val="none"/>
          <w:u w:val="non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u w:val="none"/>
        </w:rPr>
        <w:t>因公出国（境）经费与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1</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仿宋_GB2312" w:cs="Times New Roman"/>
          <w:sz w:val="32"/>
          <w:szCs w:val="32"/>
          <w:highlight w:val="none"/>
          <w:u w:val="none"/>
        </w:rPr>
        <w:t>主要原因是：因公出国(境)经费未安排。</w:t>
      </w:r>
    </w:p>
    <w:p w14:paraId="2A60D073">
      <w:pPr>
        <w:suppressAutoHyphens/>
        <w:bidi w:val="0"/>
        <w:spacing w:line="580" w:lineRule="exact"/>
        <w:ind w:firstLine="640"/>
        <w:rPr>
          <w:rFonts w:hint="eastAsia" w:ascii="Times New Roman" w:hAnsi="Times New Roman" w:eastAsia="黑体" w:cs="Times New Roman"/>
          <w:b/>
          <w:sz w:val="32"/>
          <w:szCs w:val="32"/>
          <w:highlight w:val="none"/>
          <w:u w:val="none"/>
        </w:rPr>
      </w:pPr>
      <w:r>
        <w:rPr>
          <w:rFonts w:hint="eastAsia" w:ascii="Times New Roman" w:hAnsi="Times New Roman" w:eastAsia="楷体_GB2312" w:cs="Times New Roman"/>
          <w:b/>
          <w:sz w:val="32"/>
          <w:szCs w:val="32"/>
          <w:highlight w:val="none"/>
          <w:u w:val="none"/>
        </w:rPr>
        <w:t>（</w:t>
      </w:r>
      <w:r>
        <w:rPr>
          <w:rFonts w:hint="eastAsia" w:ascii="Times New Roman" w:hAnsi="Times New Roman" w:eastAsia="楷体_GB2312" w:cs="Times New Roman"/>
          <w:b/>
          <w:sz w:val="32"/>
          <w:szCs w:val="32"/>
          <w:highlight w:val="none"/>
          <w:u w:val="none"/>
          <w:lang w:eastAsia="zh-CN"/>
        </w:rPr>
        <w:t>二</w:t>
      </w:r>
      <w:r>
        <w:rPr>
          <w:rFonts w:hint="eastAsia" w:ascii="Times New Roman" w:hAnsi="Times New Roman" w:eastAsia="楷体_GB2312" w:cs="Times New Roman"/>
          <w:b/>
          <w:sz w:val="32"/>
          <w:szCs w:val="32"/>
          <w:highlight w:val="none"/>
          <w:u w:val="none"/>
        </w:rPr>
        <w:t>）公务接待费较</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1</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预算下降</w:t>
      </w:r>
      <w:r>
        <w:rPr>
          <w:rFonts w:hint="eastAsia" w:ascii="Times New Roman" w:hAnsi="Times New Roman" w:eastAsia="仿宋_GB2312" w:cs="Times New Roman"/>
          <w:b/>
          <w:sz w:val="32"/>
          <w:szCs w:val="32"/>
          <w:highlight w:val="none"/>
          <w:u w:val="none"/>
          <w:lang w:val="en-US" w:eastAsia="zh-CN"/>
        </w:rPr>
        <w:t>0.38</w:t>
      </w:r>
      <w:r>
        <w:rPr>
          <w:rFonts w:ascii="Times New Roman" w:hAnsi="Times New Roman" w:eastAsia="楷体_GB2312" w:cs="Times New Roman"/>
          <w:b/>
          <w:sz w:val="32"/>
          <w:szCs w:val="32"/>
          <w:highlight w:val="none"/>
          <w:u w:val="none"/>
        </w:rPr>
        <w:t>%</w:t>
      </w:r>
      <w:r>
        <w:rPr>
          <w:rFonts w:hint="eastAsia" w:ascii="Times New Roman" w:hAnsi="Times New Roman" w:eastAsia="楷体_GB2312" w:cs="Times New Roman"/>
          <w:b/>
          <w:sz w:val="32"/>
          <w:szCs w:val="32"/>
          <w:highlight w:val="none"/>
          <w:u w:val="none"/>
        </w:rPr>
        <w:t>。</w:t>
      </w:r>
      <w:r>
        <w:rPr>
          <w:rFonts w:hint="eastAsia" w:ascii="Times New Roman" w:hAnsi="Times New Roman" w:eastAsia="仿宋_GB2312" w:cs="Times New Roman"/>
          <w:sz w:val="32"/>
          <w:szCs w:val="32"/>
          <w:highlight w:val="none"/>
          <w:u w:val="none"/>
        </w:rPr>
        <w:t>主要原因是厉行节约、严控开支。</w:t>
      </w:r>
    </w:p>
    <w:p w14:paraId="4CFED70B">
      <w:pPr>
        <w:suppressAutoHyphens/>
        <w:bidi w:val="0"/>
        <w:spacing w:line="580" w:lineRule="exact"/>
        <w:ind w:firstLine="640"/>
        <w:rPr>
          <w:rFonts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eastAsia="zh-CN"/>
        </w:rPr>
        <w:t>年</w:t>
      </w:r>
      <w:r>
        <w:rPr>
          <w:rFonts w:hint="eastAsia" w:ascii="Times New Roman" w:hAnsi="Times New Roman" w:eastAsia="仿宋_GB2312" w:cs="Times New Roman"/>
          <w:sz w:val="32"/>
          <w:szCs w:val="32"/>
          <w:highlight w:val="none"/>
          <w:u w:val="none"/>
        </w:rPr>
        <w:t>公务接待费计划用于执行公务、考察调研、检查指导等公务活动开支的交通费、住宿费、用餐费等。</w:t>
      </w:r>
    </w:p>
    <w:p w14:paraId="388C6AF3">
      <w:pPr>
        <w:suppressAutoHyphens/>
        <w:bidi w:val="0"/>
        <w:spacing w:line="580" w:lineRule="exact"/>
        <w:ind w:firstLine="640"/>
        <w:rPr>
          <w:rFonts w:hint="eastAsia" w:ascii="Times New Roman" w:hAnsi="Times New Roman" w:eastAsia="黑体" w:cs="Times New Roman"/>
          <w:b/>
          <w:sz w:val="32"/>
          <w:szCs w:val="32"/>
          <w:highlight w:val="none"/>
          <w:u w:val="none"/>
        </w:rPr>
      </w:pPr>
      <w:r>
        <w:rPr>
          <w:rFonts w:hint="eastAsia" w:ascii="Times New Roman" w:hAnsi="Times New Roman" w:eastAsia="楷体_GB2312" w:cs="Times New Roman"/>
          <w:b/>
          <w:sz w:val="32"/>
          <w:szCs w:val="32"/>
          <w:highlight w:val="none"/>
          <w:u w:val="none"/>
        </w:rPr>
        <w:t>（</w:t>
      </w:r>
      <w:r>
        <w:rPr>
          <w:rFonts w:hint="eastAsia" w:ascii="Times New Roman" w:hAnsi="Times New Roman" w:eastAsia="楷体_GB2312" w:cs="Times New Roman"/>
          <w:b/>
          <w:sz w:val="32"/>
          <w:szCs w:val="32"/>
          <w:highlight w:val="none"/>
          <w:u w:val="none"/>
          <w:lang w:eastAsia="zh-CN"/>
        </w:rPr>
        <w:t>三</w:t>
      </w:r>
      <w:r>
        <w:rPr>
          <w:rFonts w:hint="eastAsia" w:ascii="Times New Roman" w:hAnsi="Times New Roman" w:eastAsia="楷体_GB2312" w:cs="Times New Roman"/>
          <w:b/>
          <w:sz w:val="32"/>
          <w:szCs w:val="32"/>
          <w:highlight w:val="none"/>
          <w:u w:val="none"/>
        </w:rPr>
        <w:t>）公务用车购置及运行维护费与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1</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预算持平。</w:t>
      </w:r>
      <w:r>
        <w:rPr>
          <w:rFonts w:hint="eastAsia" w:ascii="Times New Roman" w:hAnsi="Times New Roman" w:eastAsia="仿宋_GB2312" w:cs="Times New Roman"/>
          <w:sz w:val="32"/>
          <w:szCs w:val="32"/>
          <w:highlight w:val="none"/>
          <w:u w:val="none"/>
        </w:rPr>
        <w:t>主要原因是：我单位无公务用车，公务用车购置未安排，公务用车运行维护费未安排。</w:t>
      </w:r>
    </w:p>
    <w:p w14:paraId="60A2A7A7">
      <w:pPr>
        <w:suppressAutoHyphens/>
        <w:bidi w:val="0"/>
        <w:spacing w:line="580" w:lineRule="exact"/>
        <w:ind w:firstLine="640"/>
        <w:rPr>
          <w:rFonts w:hint="eastAsia"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rPr>
        <w:t>单位现有公务用车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辆，其中：轿车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辆，旅行车（含商务车）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辆，越野车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辆，大型客、货车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w:t>
      </w:r>
    </w:p>
    <w:p w14:paraId="649D92D8">
      <w:pPr>
        <w:suppressAutoHyphens/>
        <w:bidi w:val="0"/>
        <w:spacing w:line="580" w:lineRule="exact"/>
        <w:ind w:firstLine="640"/>
        <w:rPr>
          <w:rFonts w:hint="eastAsia"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eastAsia="zh-CN"/>
        </w:rPr>
        <w:t>年</w:t>
      </w:r>
      <w:r>
        <w:rPr>
          <w:rFonts w:hint="eastAsia" w:ascii="Times New Roman" w:hAnsi="Times New Roman" w:eastAsia="仿宋_GB2312" w:cs="Times New Roman"/>
          <w:sz w:val="32"/>
          <w:szCs w:val="32"/>
          <w:highlight w:val="none"/>
          <w:u w:val="none"/>
        </w:rPr>
        <w:t>安排公务用车购置费</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万元，</w:t>
      </w:r>
      <w:r>
        <w:rPr>
          <w:rFonts w:hint="eastAsia" w:ascii="Times New Roman" w:hAnsi="Times New Roman" w:eastAsia="仿宋_GB2312" w:cs="Times New Roman"/>
          <w:sz w:val="32"/>
          <w:szCs w:val="32"/>
          <w:highlight w:val="none"/>
          <w:u w:val="none"/>
          <w:lang w:eastAsia="zh-CN"/>
        </w:rPr>
        <w:t>拟</w:t>
      </w:r>
      <w:r>
        <w:rPr>
          <w:rFonts w:hint="eastAsia" w:ascii="Times New Roman" w:hAnsi="Times New Roman" w:eastAsia="仿宋_GB2312" w:cs="Times New Roman"/>
          <w:sz w:val="32"/>
          <w:szCs w:val="32"/>
          <w:highlight w:val="none"/>
          <w:u w:val="none"/>
        </w:rPr>
        <w:t>购置公务用车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辆，其中：轿车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辆，旅行车（含商务车）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辆，越野车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辆，大型客、货车</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w:t>
      </w:r>
    </w:p>
    <w:p w14:paraId="610EA8F1">
      <w:pPr>
        <w:suppressAutoHyphens/>
        <w:bidi w:val="0"/>
        <w:spacing w:line="580" w:lineRule="exact"/>
        <w:ind w:firstLine="640"/>
        <w:rPr>
          <w:rFonts w:hint="eastAsia"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eastAsia="zh-CN"/>
        </w:rPr>
        <w:t>年</w:t>
      </w:r>
      <w:r>
        <w:rPr>
          <w:rFonts w:hint="eastAsia" w:ascii="Times New Roman" w:hAnsi="Times New Roman" w:eastAsia="仿宋_GB2312" w:cs="Times New Roman"/>
          <w:sz w:val="32"/>
          <w:szCs w:val="32"/>
          <w:highlight w:val="none"/>
          <w:u w:val="none"/>
        </w:rPr>
        <w:t>安排公务用车运行维护费</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万元，用于</w:t>
      </w:r>
      <w:r>
        <w:rPr>
          <w:rFonts w:hint="eastAsia" w:ascii="Times New Roman" w:hAnsi="Times New Roman" w:eastAsia="仿宋_GB2312" w:cs="Times New Roman"/>
          <w:sz w:val="32"/>
          <w:szCs w:val="32"/>
          <w:highlight w:val="none"/>
          <w:u w:val="none"/>
          <w:lang w:val="en-US" w:eastAsia="zh-CN"/>
        </w:rPr>
        <w:t>0</w:t>
      </w:r>
      <w:r>
        <w:rPr>
          <w:rFonts w:hint="eastAsia" w:ascii="Times New Roman" w:hAnsi="Times New Roman" w:eastAsia="仿宋_GB2312" w:cs="Times New Roman"/>
          <w:sz w:val="32"/>
          <w:szCs w:val="32"/>
          <w:highlight w:val="none"/>
          <w:u w:val="none"/>
        </w:rPr>
        <w:t>辆公务用车燃油、维修、保险等方面支出。</w:t>
      </w:r>
    </w:p>
    <w:p w14:paraId="1D3BFA42">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政府性基金预算支出</w:t>
      </w:r>
      <w:r>
        <w:rPr>
          <w:rFonts w:hint="eastAsia" w:ascii="Times New Roman" w:hAnsi="Times New Roman" w:eastAsia="黑体" w:cs="Times New Roman"/>
          <w:sz w:val="32"/>
          <w:szCs w:val="32"/>
          <w:highlight w:val="none"/>
          <w:lang w:eastAsia="zh-CN"/>
        </w:rPr>
        <w:t>情况说明</w:t>
      </w:r>
    </w:p>
    <w:p w14:paraId="7C70DA30">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没有使用政府性基金预算拨款安排的支出。</w:t>
      </w:r>
    </w:p>
    <w:p w14:paraId="710CF04E">
      <w:pPr>
        <w:suppressAutoHyphens/>
        <w:bidi w:val="0"/>
        <w:spacing w:line="580" w:lineRule="exact"/>
        <w:ind w:firstLine="640" w:firstLineChars="200"/>
        <w:outlineLvl w:val="1"/>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p>
    <w:p w14:paraId="04CA7F1A">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没有使用国有资本经营预算拨款安排的支出。</w:t>
      </w:r>
    </w:p>
    <w:p w14:paraId="7C03BC3E">
      <w:pPr>
        <w:suppressAutoHyphens/>
        <w:bidi w:val="0"/>
        <w:spacing w:line="580" w:lineRule="exact"/>
        <w:ind w:firstLine="640" w:firstLineChars="200"/>
        <w:outlineLvl w:val="1"/>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其他重要事项的情况说明</w:t>
      </w:r>
    </w:p>
    <w:p w14:paraId="61878F65">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（一）机关运行经费</w:t>
      </w:r>
      <w:r>
        <w:rPr>
          <w:rFonts w:hint="eastAsia" w:ascii="Times New Roman" w:hAnsi="Times New Roman" w:eastAsia="楷体_GB2312" w:cs="Times New Roman"/>
          <w:b/>
          <w:sz w:val="32"/>
          <w:szCs w:val="32"/>
          <w:highlight w:val="none"/>
          <w:lang w:eastAsia="zh-CN"/>
        </w:rPr>
        <w:t>情况</w:t>
      </w:r>
    </w:p>
    <w:p w14:paraId="03FCDE53">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w:t>
      </w:r>
      <w:r>
        <w:rPr>
          <w:rFonts w:hint="eastAsia" w:ascii="Times New Roman" w:hAnsi="Times New Roman" w:eastAsia="仿宋_GB2312" w:cs="Times New Roman"/>
          <w:sz w:val="32"/>
          <w:szCs w:val="32"/>
          <w:highlight w:val="none"/>
          <w:u w:val="none"/>
          <w:lang w:eastAsia="zh-CN"/>
        </w:rPr>
        <w:t>02</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eastAsia="zh-CN"/>
        </w:rPr>
        <w:t>年</w:t>
      </w:r>
      <w:r>
        <w:rPr>
          <w:rFonts w:hint="eastAsia"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val="en-US" w:eastAsia="zh-CN"/>
        </w:rPr>
        <w:t>区经信局</w:t>
      </w:r>
      <w:r>
        <w:rPr>
          <w:rFonts w:hint="eastAsia" w:ascii="Times New Roman" w:hAnsi="Times New Roman" w:eastAsia="仿宋_GB2312" w:cs="Times New Roman"/>
          <w:sz w:val="32"/>
          <w:szCs w:val="32"/>
          <w:highlight w:val="none"/>
          <w:u w:val="none"/>
        </w:rPr>
        <w:t>下属</w:t>
      </w:r>
      <w:r>
        <w:rPr>
          <w:rFonts w:hint="eastAsia" w:ascii="Times New Roman" w:hAnsi="Times New Roman" w:eastAsia="仿宋_GB2312" w:cs="Times New Roman"/>
          <w:sz w:val="32"/>
          <w:szCs w:val="32"/>
          <w:highlight w:val="none"/>
          <w:u w:val="none"/>
          <w:lang w:val="en-US" w:eastAsia="zh-CN"/>
        </w:rPr>
        <w:t>经贸服务中心</w:t>
      </w:r>
      <w:r>
        <w:rPr>
          <w:rFonts w:hint="eastAsia" w:ascii="Times New Roman" w:hAnsi="Times New Roman" w:eastAsia="仿宋_GB2312" w:cs="Times New Roman"/>
          <w:sz w:val="32"/>
          <w:szCs w:val="32"/>
          <w:highlight w:val="none"/>
          <w:u w:val="none"/>
        </w:rPr>
        <w:t>等</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家</w:t>
      </w:r>
      <w:r>
        <w:rPr>
          <w:rFonts w:hint="eastAsia" w:ascii="Times New Roman" w:hAnsi="Times New Roman" w:eastAsia="仿宋_GB2312" w:cs="Times New Roman"/>
          <w:sz w:val="32"/>
          <w:szCs w:val="32"/>
          <w:highlight w:val="none"/>
          <w:u w:val="none"/>
          <w:lang w:val="en-US" w:eastAsia="zh-CN"/>
        </w:rPr>
        <w:t>事业</w:t>
      </w:r>
      <w:r>
        <w:rPr>
          <w:rFonts w:hint="eastAsia" w:ascii="Times New Roman" w:hAnsi="Times New Roman" w:eastAsia="仿宋_GB2312" w:cs="Times New Roman"/>
          <w:sz w:val="32"/>
          <w:szCs w:val="32"/>
          <w:highlight w:val="none"/>
          <w:u w:val="none"/>
        </w:rPr>
        <w:t>单位的机关运行经费财政拨款预算为</w:t>
      </w:r>
      <w:r>
        <w:rPr>
          <w:rFonts w:hint="eastAsia" w:ascii="Times New Roman" w:hAnsi="Times New Roman" w:eastAsia="仿宋_GB2312" w:cs="Times New Roman"/>
          <w:sz w:val="32"/>
          <w:szCs w:val="32"/>
          <w:highlight w:val="none"/>
          <w:u w:val="none"/>
          <w:lang w:val="en-US" w:eastAsia="zh-CN"/>
        </w:rPr>
        <w:t>22.50</w:t>
      </w:r>
      <w:r>
        <w:rPr>
          <w:rFonts w:hint="eastAsia" w:ascii="Times New Roman" w:hAnsi="Times New Roman" w:eastAsia="仿宋_GB2312" w:cs="Times New Roman"/>
          <w:sz w:val="32"/>
          <w:szCs w:val="32"/>
          <w:highlight w:val="none"/>
          <w:u w:val="none"/>
        </w:rPr>
        <w:t>万元，比</w:t>
      </w: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eastAsia="zh-CN"/>
        </w:rPr>
        <w:t>年</w:t>
      </w:r>
      <w:r>
        <w:rPr>
          <w:rFonts w:hint="eastAsia" w:ascii="Times New Roman" w:hAnsi="Times New Roman" w:eastAsia="仿宋_GB2312" w:cs="Times New Roman"/>
          <w:sz w:val="32"/>
          <w:szCs w:val="32"/>
          <w:highlight w:val="none"/>
          <w:u w:val="none"/>
        </w:rPr>
        <w:t>预算</w:t>
      </w:r>
      <w:r>
        <w:rPr>
          <w:rFonts w:hint="eastAsia" w:ascii="Times New Roman" w:hAnsi="Times New Roman" w:eastAsia="仿宋_GB2312" w:cs="Times New Roman"/>
          <w:sz w:val="32"/>
          <w:szCs w:val="32"/>
          <w:highlight w:val="none"/>
          <w:u w:val="none"/>
          <w:lang w:val="en-US" w:eastAsia="zh-CN"/>
        </w:rPr>
        <w:t>增加1.98</w:t>
      </w:r>
      <w:r>
        <w:rPr>
          <w:rFonts w:hint="eastAsia" w:ascii="Times New Roman" w:hAnsi="Times New Roman" w:eastAsia="仿宋_GB2312" w:cs="Times New Roman"/>
          <w:sz w:val="32"/>
          <w:szCs w:val="32"/>
          <w:highlight w:val="none"/>
          <w:u w:val="none"/>
        </w:rPr>
        <w:t>万元，</w:t>
      </w:r>
      <w:r>
        <w:rPr>
          <w:rFonts w:hint="eastAsia" w:ascii="Times New Roman" w:hAnsi="Times New Roman" w:eastAsia="仿宋_GB2312" w:cs="Times New Roman"/>
          <w:sz w:val="32"/>
          <w:szCs w:val="32"/>
          <w:highlight w:val="none"/>
          <w:u w:val="none"/>
          <w:lang w:val="en-US" w:eastAsia="zh-CN"/>
        </w:rPr>
        <w:t>增长9.65</w:t>
      </w:r>
      <w:r>
        <w:rPr>
          <w:rFonts w:hint="eastAsia" w:ascii="Times New Roman" w:hAnsi="Times New Roman" w:eastAsia="仿宋_GB2312" w:cs="Times New Roman"/>
          <w:sz w:val="32"/>
          <w:szCs w:val="32"/>
          <w:highlight w:val="none"/>
          <w:u w:val="none"/>
        </w:rPr>
        <w:t>%。主要原因是</w:t>
      </w:r>
      <w:r>
        <w:rPr>
          <w:rFonts w:hint="eastAsia" w:ascii="Times New Roman" w:hAnsi="Times New Roman" w:eastAsia="方正仿宋_GBK" w:cs="Times New Roman"/>
          <w:sz w:val="33"/>
          <w:szCs w:val="33"/>
          <w:lang w:val="en-US" w:eastAsia="zh-CN"/>
        </w:rPr>
        <w:t>2021年单位有新进人员，增加</w:t>
      </w:r>
      <w:r>
        <w:rPr>
          <w:rFonts w:hint="eastAsia" w:ascii="Times New Roman" w:hAnsi="Times New Roman" w:eastAsia="仿宋_GB2312" w:cs="Times New Roman"/>
          <w:sz w:val="32"/>
          <w:szCs w:val="32"/>
          <w:highlight w:val="none"/>
          <w:u w:val="none"/>
          <w:lang w:val="en-US" w:eastAsia="zh-CN"/>
        </w:rPr>
        <w:t>机关运行经费</w:t>
      </w:r>
      <w:r>
        <w:rPr>
          <w:rFonts w:hint="eastAsia" w:ascii="Times New Roman" w:hAnsi="Times New Roman" w:eastAsia="仿宋_GB2312" w:cs="Times New Roman"/>
          <w:sz w:val="32"/>
          <w:szCs w:val="32"/>
          <w:highlight w:val="none"/>
          <w:u w:val="none"/>
        </w:rPr>
        <w:t>。</w:t>
      </w:r>
    </w:p>
    <w:p w14:paraId="5A9879D6">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（二）政府采购情况</w:t>
      </w:r>
    </w:p>
    <w:p w14:paraId="322781B9">
      <w:pPr>
        <w:suppressAutoHyphens/>
        <w:bidi w:val="0"/>
        <w:spacing w:line="580" w:lineRule="exact"/>
        <w:ind w:firstLine="640" w:firstLineChars="200"/>
        <w:rPr>
          <w:rFonts w:hint="eastAsia"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无政府采购项目，未安排政府采购预算。</w:t>
      </w:r>
    </w:p>
    <w:p w14:paraId="10C72C16">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highlight w:val="none"/>
        </w:rPr>
        <w:t>（三）国有资产占有使用情况</w:t>
      </w:r>
    </w:p>
    <w:p w14:paraId="28789BEE">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区经信局</w:t>
      </w:r>
      <w:r>
        <w:rPr>
          <w:rFonts w:hint="eastAsia"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台。</w:t>
      </w:r>
    </w:p>
    <w:p w14:paraId="4A101402">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部门预算未安排购置车辆及单位价值200万元以上大型设备。</w:t>
      </w:r>
    </w:p>
    <w:p w14:paraId="4B1FBB2F">
      <w:pPr>
        <w:suppressAutoHyphens/>
        <w:bidi w:val="0"/>
        <w:spacing w:line="580" w:lineRule="exact"/>
        <w:ind w:firstLine="643" w:firstLineChars="200"/>
        <w:outlineLvl w:val="2"/>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rPr>
        <w:t>（四）</w:t>
      </w:r>
      <w:r>
        <w:rPr>
          <w:rFonts w:hint="eastAsia" w:ascii="Times New Roman" w:hAnsi="Times New Roman" w:eastAsia="楷体_GB2312" w:cs="Times New Roman"/>
          <w:b/>
          <w:sz w:val="32"/>
          <w:szCs w:val="32"/>
          <w:highlight w:val="none"/>
          <w:lang w:eastAsia="zh-CN"/>
        </w:rPr>
        <w:t>预算绩效情况</w:t>
      </w:r>
    </w:p>
    <w:p w14:paraId="2D5274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2022年区经信局开展绩效目标管理的项目1</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262</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万元；运转类项目</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万元；特定目标类项目</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262</w:t>
      </w:r>
      <w:r>
        <w:rPr>
          <w:rFonts w:hint="eastAsia" w:ascii="Times New Roman" w:hAnsi="Times New Roman" w:eastAsia="仿宋_GB2312" w:cs="仿宋_GB2312"/>
          <w:sz w:val="32"/>
          <w:szCs w:val="32"/>
          <w:highlight w:val="none"/>
          <w:lang w:eastAsia="zh-CN"/>
        </w:rPr>
        <w:t>万元。</w:t>
      </w:r>
    </w:p>
    <w:p w14:paraId="18571058">
      <w:pPr>
        <w:spacing w:line="600" w:lineRule="exact"/>
        <w:ind w:firstLine="640" w:firstLineChars="200"/>
        <w:rPr>
          <w:rFonts w:ascii="Times New Roman" w:hAnsi="Times New Roman" w:eastAsia="楷体"/>
          <w:b/>
          <w:color w:val="FF0000"/>
          <w:sz w:val="32"/>
          <w:szCs w:val="32"/>
          <w:highlight w:val="none"/>
        </w:rPr>
      </w:pPr>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、名词解释</w:t>
      </w:r>
    </w:p>
    <w:p w14:paraId="39AB00CA">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1.一般公共预算拨款收入：指</w:t>
      </w:r>
      <w:r>
        <w:rPr>
          <w:rFonts w:hint="eastAsia" w:ascii="Times New Roman" w:hAnsi="Times New Roman" w:eastAsia="仿宋_GB2312"/>
          <w:sz w:val="32"/>
          <w:szCs w:val="32"/>
          <w:highlight w:val="none"/>
          <w:lang w:val="en-US" w:eastAsia="zh-CN"/>
        </w:rPr>
        <w:t>区</w:t>
      </w:r>
      <w:r>
        <w:rPr>
          <w:rFonts w:hint="eastAsia" w:ascii="Times New Roman" w:hAnsi="Times New Roman" w:eastAsia="仿宋_GB2312"/>
          <w:sz w:val="32"/>
          <w:szCs w:val="32"/>
          <w:highlight w:val="none"/>
        </w:rPr>
        <w:t>级财政当年拨付的资金。</w:t>
      </w:r>
    </w:p>
    <w:p w14:paraId="3C2C53F1">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2.上年结转：指以前年度尚未完成，结转到本年仍按原规定用途继续使用的资金。</w:t>
      </w:r>
    </w:p>
    <w:p w14:paraId="475FCA30">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lang w:val="en-US" w:eastAsia="zh-CN"/>
        </w:rPr>
        <w:t>商业服务业等支出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商业流通事务</w:t>
      </w:r>
      <w:r>
        <w:rPr>
          <w:rFonts w:hint="eastAsia" w:ascii="Times New Roman" w:hAnsi="Times New Roman" w:eastAsia="仿宋_GB2312"/>
          <w:sz w:val="32"/>
          <w:szCs w:val="32"/>
          <w:highlight w:val="none"/>
        </w:rPr>
        <w:t>（款）行政运行（项）：指</w:t>
      </w:r>
      <w:r>
        <w:rPr>
          <w:rFonts w:hint="eastAsia" w:ascii="Times New Roman" w:hAnsi="Times New Roman" w:eastAsia="仿宋_GB2312"/>
          <w:sz w:val="32"/>
          <w:szCs w:val="32"/>
          <w:highlight w:val="none"/>
          <w:lang w:val="en-US" w:eastAsia="zh-CN"/>
        </w:rPr>
        <w:t>区级</w:t>
      </w:r>
      <w:r>
        <w:rPr>
          <w:rFonts w:hint="eastAsia" w:ascii="Times New Roman" w:hAnsi="Times New Roman" w:eastAsia="仿宋_GB2312"/>
          <w:sz w:val="32"/>
          <w:szCs w:val="32"/>
          <w:highlight w:val="none"/>
        </w:rPr>
        <w:t>机关及参公管理事业单位用于保障机构正常运行、开展日常工作的基本支出。</w:t>
      </w:r>
    </w:p>
    <w:p w14:paraId="17F9A5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.基本支出：指为保证机构正常运转，完成日常工作任务而发生的人员支出和公用支出。</w:t>
      </w:r>
    </w:p>
    <w:p w14:paraId="4B7F2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.项目支出：指在基本支出之外为完成特定行政任务和事业发展目标所发生的支出。</w:t>
      </w:r>
    </w:p>
    <w:p w14:paraId="4B29D7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33B3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.机关运行经费：为保障行政单位（包含参照公务员法管理的事业单位）运行用于购买货物和服务的各项资金。包括办公及印刷费、邮电费、差旅费、会议费一般设备购置费等费用开支。</w:t>
      </w:r>
    </w:p>
    <w:p w14:paraId="7443CCFF">
      <w:pPr>
        <w:spacing w:line="600" w:lineRule="exact"/>
        <w:rPr>
          <w:rFonts w:hint="eastAsia" w:ascii="Times New Roman" w:hAnsi="Times New Roman" w:eastAsia="仿宋_GB2312"/>
          <w:sz w:val="32"/>
          <w:szCs w:val="32"/>
          <w:highlight w:val="none"/>
        </w:rPr>
      </w:pPr>
    </w:p>
    <w:p w14:paraId="076568CF">
      <w:p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附件：表1 部门收支总表</w:t>
      </w:r>
    </w:p>
    <w:p w14:paraId="0125DB7B">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表1-1 部门收入总表</w:t>
      </w:r>
    </w:p>
    <w:p w14:paraId="492C92EF">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表1-2 部门支出总表</w:t>
      </w:r>
    </w:p>
    <w:p w14:paraId="5DCFFBC9">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 财政拨款收支总表</w:t>
      </w:r>
    </w:p>
    <w:p w14:paraId="59520226">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表2-1财政拨款支出预算表（</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经济分类科目）</w:t>
      </w:r>
    </w:p>
    <w:p w14:paraId="2B604400">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 一般公共预算支出预算表</w:t>
      </w:r>
    </w:p>
    <w:p w14:paraId="693833F7">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表3-1 一般公共预算基本支出预算表</w:t>
      </w:r>
    </w:p>
    <w:p w14:paraId="5119442E">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表3-2一般公共预算项目支出预算表</w:t>
      </w:r>
    </w:p>
    <w:p w14:paraId="3A88BF48">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表3-3 一般公共预算“三公”经费支出</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rPr>
        <w:t>表</w:t>
      </w:r>
    </w:p>
    <w:p w14:paraId="14001DC9">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 政府性基金支出预算表</w:t>
      </w:r>
    </w:p>
    <w:p w14:paraId="58F3B911">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表4-1 政府性基金预算“三公”经费支出预算表</w:t>
      </w:r>
    </w:p>
    <w:p w14:paraId="7F0CB3EA">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表5 国有资本经营预算支出预算表</w:t>
      </w:r>
    </w:p>
    <w:p w14:paraId="6C190367">
      <w:pPr>
        <w:spacing w:line="600" w:lineRule="exact"/>
        <w:ind w:firstLine="960" w:firstLineChars="3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表6 部门预算项目</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绩效目标</w:t>
      </w:r>
      <w:r>
        <w:rPr>
          <w:rFonts w:hint="eastAsia" w:ascii="Times New Roman" w:hAnsi="Times New Roman" w:eastAsia="仿宋_GB2312"/>
          <w:sz w:val="32"/>
          <w:szCs w:val="32"/>
          <w:highlight w:val="none"/>
          <w:lang w:eastAsia="zh-CN"/>
        </w:rPr>
        <w:t>表</w:t>
      </w:r>
    </w:p>
    <w:p w14:paraId="04680CE0">
      <w:pPr>
        <w:spacing w:line="600" w:lineRule="exact"/>
        <w:ind w:firstLine="960" w:firstLineChars="3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表</w:t>
      </w:r>
      <w:r>
        <w:rPr>
          <w:rFonts w:hint="eastAsia" w:ascii="Times New Roman" w:hAnsi="Times New Roman" w:eastAsia="仿宋_GB2312"/>
          <w:sz w:val="32"/>
          <w:szCs w:val="32"/>
          <w:highlight w:val="none"/>
          <w:lang w:val="en-US" w:eastAsia="zh-CN"/>
        </w:rPr>
        <w:t>7 部门整体支出绩效目标表</w:t>
      </w:r>
    </w:p>
    <w:p w14:paraId="469CDC44">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方正小标宋_GBK"/>
          <w:sz w:val="32"/>
          <w:szCs w:val="32"/>
          <w:highlight w:val="none"/>
        </w:rPr>
        <w:t>——（以上为正文）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EA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3AE1C1">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3AE1C1">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GE0Njc5ZjgwMDY1MTlkMTcxZDQ0Y2I2NTJlNWY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05A15FEF"/>
    <w:rsid w:val="06542C88"/>
    <w:rsid w:val="0E3237D8"/>
    <w:rsid w:val="10134CDE"/>
    <w:rsid w:val="1DE9F11D"/>
    <w:rsid w:val="1DFEF48B"/>
    <w:rsid w:val="1E9F4C3A"/>
    <w:rsid w:val="22516D90"/>
    <w:rsid w:val="242C7CD3"/>
    <w:rsid w:val="2D8A317E"/>
    <w:rsid w:val="315F179E"/>
    <w:rsid w:val="32F75F19"/>
    <w:rsid w:val="37956348"/>
    <w:rsid w:val="38E906A4"/>
    <w:rsid w:val="39A613DE"/>
    <w:rsid w:val="3BF7822D"/>
    <w:rsid w:val="3F791594"/>
    <w:rsid w:val="3FAF5005"/>
    <w:rsid w:val="3FEF825B"/>
    <w:rsid w:val="40D32189"/>
    <w:rsid w:val="45FD8A71"/>
    <w:rsid w:val="4B52491D"/>
    <w:rsid w:val="4DA1085D"/>
    <w:rsid w:val="4EF834AA"/>
    <w:rsid w:val="4F37A3C3"/>
    <w:rsid w:val="5114469B"/>
    <w:rsid w:val="53E976B2"/>
    <w:rsid w:val="55306D65"/>
    <w:rsid w:val="554D1FD9"/>
    <w:rsid w:val="57FFFCA8"/>
    <w:rsid w:val="58A8636E"/>
    <w:rsid w:val="58E672C1"/>
    <w:rsid w:val="5B752E84"/>
    <w:rsid w:val="5CB7BA99"/>
    <w:rsid w:val="5F2F86E9"/>
    <w:rsid w:val="5FFC71C1"/>
    <w:rsid w:val="61A43131"/>
    <w:rsid w:val="64D916AD"/>
    <w:rsid w:val="65347F98"/>
    <w:rsid w:val="66E20F29"/>
    <w:rsid w:val="670B216D"/>
    <w:rsid w:val="6DD7B53C"/>
    <w:rsid w:val="6EFAA790"/>
    <w:rsid w:val="70FD5894"/>
    <w:rsid w:val="72E0217C"/>
    <w:rsid w:val="73442CB3"/>
    <w:rsid w:val="7375DF5E"/>
    <w:rsid w:val="755E4E49"/>
    <w:rsid w:val="7BFAD181"/>
    <w:rsid w:val="7D7E018B"/>
    <w:rsid w:val="7D8F293E"/>
    <w:rsid w:val="7DDF1AF8"/>
    <w:rsid w:val="7DFB24B8"/>
    <w:rsid w:val="7E3E0B3C"/>
    <w:rsid w:val="7F3A4C55"/>
    <w:rsid w:val="7F7F8A8C"/>
    <w:rsid w:val="7F9EA7B0"/>
    <w:rsid w:val="7FB7C30D"/>
    <w:rsid w:val="7FBB9175"/>
    <w:rsid w:val="7FE71B81"/>
    <w:rsid w:val="7FFF95F4"/>
    <w:rsid w:val="9B83DEA0"/>
    <w:rsid w:val="9D570E8E"/>
    <w:rsid w:val="A7F82082"/>
    <w:rsid w:val="AFFFE2DF"/>
    <w:rsid w:val="B3EF7825"/>
    <w:rsid w:val="B5BF2B77"/>
    <w:rsid w:val="BEE35A71"/>
    <w:rsid w:val="BFCD2B58"/>
    <w:rsid w:val="D4FD4202"/>
    <w:rsid w:val="D72DFD28"/>
    <w:rsid w:val="D72F0654"/>
    <w:rsid w:val="DB73C688"/>
    <w:rsid w:val="DDFEF735"/>
    <w:rsid w:val="DF562D51"/>
    <w:rsid w:val="DF7FE03E"/>
    <w:rsid w:val="DFF30D5D"/>
    <w:rsid w:val="ECF74D3C"/>
    <w:rsid w:val="EFF9A1F4"/>
    <w:rsid w:val="F3DBE64C"/>
    <w:rsid w:val="F5DD9CA7"/>
    <w:rsid w:val="F6DD208B"/>
    <w:rsid w:val="F7BFCCB3"/>
    <w:rsid w:val="F9F9D835"/>
    <w:rsid w:val="FA7F3EDC"/>
    <w:rsid w:val="FA8E0CE9"/>
    <w:rsid w:val="FBE72CAC"/>
    <w:rsid w:val="FDFF94D0"/>
    <w:rsid w:val="FE7B838E"/>
    <w:rsid w:val="FEFBAE56"/>
    <w:rsid w:val="FF198883"/>
    <w:rsid w:val="FFADD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6850</Words>
  <Characters>7249</Characters>
  <Lines>21</Lines>
  <Paragraphs>6</Paragraphs>
  <TotalTime>9</TotalTime>
  <ScaleCrop>false</ScaleCrop>
  <LinksUpToDate>false</LinksUpToDate>
  <CharactersWithSpaces>7262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2018-02-27T07:32:00Z</dcterms:created>
  <dc:creator>微软用户</dc:creator>
  <cp:lastModifiedBy>琴儿</cp:lastModifiedBy>
  <dcterms:modified xsi:type="dcterms:W3CDTF">2025-06-27T08:05:45Z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BBD4CC032EF7466DB5954BF8D8C81243</vt:lpwstr>
  </property>
  <property fmtid="{D5CDD505-2E9C-101B-9397-08002B2CF9AE}" pid="4" name="KSOTemplateDocerSaveRecord">
    <vt:lpwstr>eyJoZGlkIjoiZjMwMGE0Njc5ZjgwMDY1MTlkMTcxZDQ0Y2I2NTJlNWYiLCJ1c2VySWQiOiI1OTE2NDQ0MTUifQ==</vt:lpwstr>
  </property>
</Properties>
</file>