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88"/>
        <w:pBdr/>
        <w:spacing/>
        <w:ind/>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b w:val="0"/>
          <w:bCs w:val="0"/>
          <w:sz w:val="32"/>
          <w:szCs w:val="32"/>
          <w:lang w:val="en-US" w:eastAsia="zh-CN"/>
        </w:rPr>
        <w:t xml:space="preserve">附件1</w:t>
      </w:r>
      <w:r>
        <w:rPr>
          <w:rFonts w:hint="eastAsia" w:ascii="Times New Roman" w:hAnsi="Times New Roman" w:eastAsia="黑体" w:cs="黑体"/>
          <w:sz w:val="32"/>
          <w:szCs w:val="32"/>
          <w:highlight w:val="none"/>
          <w:lang w:val="en-US" w:eastAsia="zh-CN"/>
        </w:rPr>
      </w:r>
      <w:r>
        <w:rPr>
          <w:rFonts w:hint="eastAsia" w:ascii="Times New Roman" w:hAnsi="Times New Roman" w:eastAsia="黑体" w:cs="黑体"/>
          <w:sz w:val="32"/>
          <w:szCs w:val="32"/>
          <w:highlight w:val="none"/>
          <w:lang w:val="en-US" w:eastAsia="zh-CN"/>
        </w:rPr>
      </w:r>
    </w:p>
    <w:tbl>
      <w:tblPr>
        <w:tblW w:w="13716" w:type="dxa"/>
        <w:tblInd w:w="-1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448"/>
        <w:gridCol w:w="1305"/>
        <w:gridCol w:w="1545"/>
        <w:gridCol w:w="3150"/>
        <w:gridCol w:w="1485"/>
        <w:gridCol w:w="810"/>
        <w:gridCol w:w="1710"/>
        <w:gridCol w:w="825"/>
        <w:gridCol w:w="825"/>
        <w:gridCol w:w="810"/>
        <w:gridCol w:w="803"/>
      </w:tblGrid>
      <w:tr>
        <w:trPr>
          <w:trHeight w:val="819"/>
        </w:trPr>
        <w:tc>
          <w:tcPr>
            <w:gridSpan w:val="11"/>
            <w:tcBorders/>
            <w:tcW w:w="13716" w:type="dxa"/>
            <w:vAlign w:val="center"/>
            <w:textDirection w:val="lrTb"/>
            <w:noWrap w:val="false"/>
          </w:tcPr>
          <w:p>
            <w:pPr>
              <w:pStyle w:val="660"/>
              <w:keepNext w:val="false"/>
              <w:keepLines w:val="false"/>
              <w:widowControl w:val="true"/>
              <w:suppressLineNumbers w:val="false"/>
              <w:pBdr/>
              <w:spacing/>
              <w:ind/>
              <w:jc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sz w:val="44"/>
                <w:szCs w:val="44"/>
                <w:u w:val="none"/>
                <w:lang w:val="en-US" w:eastAsia="zh-CN" w:bidi="ar"/>
              </w:rPr>
              <w:t xml:space="preserve">广安市2024年度第1批新开展医疗服务价格项目明细表</w:t>
            </w:r>
            <w:r>
              <w:rPr>
                <w:rFonts w:ascii="方正小标宋_GBK" w:hAnsi="方正小标宋_GBK" w:eastAsia="方正小标宋_GBK" w:cs="方正小标宋_GBK"/>
                <w:i w:val="0"/>
                <w:color w:val="000000"/>
                <w:sz w:val="36"/>
                <w:szCs w:val="36"/>
                <w:u w:val="none"/>
              </w:rPr>
            </w:r>
            <w:r>
              <w:rPr>
                <w:rFonts w:ascii="方正小标宋_GBK" w:hAnsi="方正小标宋_GBK" w:eastAsia="方正小标宋_GBK" w:cs="方正小标宋_GBK"/>
                <w:i w:val="0"/>
                <w:color w:val="000000"/>
                <w:sz w:val="36"/>
                <w:szCs w:val="36"/>
                <w:u w:val="none"/>
              </w:rPr>
            </w:r>
          </w:p>
        </w:tc>
      </w:tr>
      <w:tr>
        <w:trPr>
          <w:trHeight w:val="422"/>
        </w:trPr>
        <w:tc>
          <w:tcPr>
            <w:tcBorders/>
            <w:tcW w:w="448" w:type="dxa"/>
            <w:vAlign w:val="center"/>
            <w:vMerge w:val="restart"/>
            <w:textDirection w:val="lrTb"/>
            <w:noWrap/>
          </w:tcPr>
          <w:p>
            <w:pPr>
              <w:pStyle w:val="660"/>
              <w:keepNext w:val="false"/>
              <w:keepLines w:val="false"/>
              <w:widowControl w:val="true"/>
              <w:suppressLineNumbers w:val="false"/>
              <w:pBdr/>
              <w:spacing/>
              <w:ind/>
              <w:jc w:val="center"/>
              <w:rPr>
                <w:rFonts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lang w:val="en-US" w:eastAsia="zh-CN" w:bidi="ar"/>
              </w:rPr>
              <w:t xml:space="preserve">序号</w:t>
            </w:r>
            <w:r>
              <w:rPr>
                <w:rFonts w:ascii="方正仿宋_GBK" w:hAnsi="方正仿宋_GBK" w:eastAsia="方正仿宋_GBK" w:cs="方正仿宋_GBK"/>
                <w:b/>
                <w:i w:val="0"/>
                <w:color w:val="000000"/>
                <w:sz w:val="22"/>
                <w:szCs w:val="22"/>
                <w:u w:val="none"/>
              </w:rPr>
            </w:r>
            <w:r>
              <w:rPr>
                <w:rFonts w:ascii="方正仿宋_GBK" w:hAnsi="方正仿宋_GBK" w:eastAsia="方正仿宋_GBK" w:cs="方正仿宋_GBK"/>
                <w:b/>
                <w:i w:val="0"/>
                <w:color w:val="000000"/>
                <w:sz w:val="22"/>
                <w:szCs w:val="22"/>
                <w:u w:val="none"/>
              </w:rPr>
            </w:r>
          </w:p>
        </w:tc>
        <w:tc>
          <w:tcPr>
            <w:tcBorders/>
            <w:tcW w:w="1305" w:type="dxa"/>
            <w:vAlign w:val="center"/>
            <w:vMerge w:val="restart"/>
            <w:textDirection w:val="lrTb"/>
            <w:noWrap/>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lang w:val="en-US" w:eastAsia="zh-CN" w:bidi="ar"/>
              </w:rPr>
              <w:t xml:space="preserve">编码</w:t>
            </w: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154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lang w:val="en-US" w:eastAsia="zh-CN" w:bidi="ar"/>
              </w:rPr>
              <w:t xml:space="preserve">项目名称</w:t>
            </w: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315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lang w:val="en-US" w:eastAsia="zh-CN" w:bidi="ar"/>
              </w:rPr>
              <w:t xml:space="preserve">项目内涵</w:t>
            </w: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148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lang w:val="en-US" w:eastAsia="zh-CN" w:bidi="ar"/>
              </w:rPr>
              <w:t xml:space="preserve">除外内容</w:t>
            </w: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8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lang w:val="en-US" w:eastAsia="zh-CN" w:bidi="ar"/>
              </w:rPr>
              <w:t xml:space="preserve">计价单位</w:t>
            </w: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1710" w:type="dxa"/>
            <w:vAlign w:val="center"/>
            <w:vMerge w:val="restart"/>
            <w:textDirection w:val="lrTb"/>
            <w:noWrap/>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lang w:val="en-US" w:eastAsia="zh-CN" w:bidi="ar"/>
              </w:rPr>
              <w:t xml:space="preserve">说明</w:t>
            </w: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gridSpan w:val="4"/>
            <w:tcBorders/>
            <w:tcW w:w="3263" w:type="dxa"/>
            <w:vAlign w:val="center"/>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广安市公立医疗机构价格（元）</w:t>
            </w:r>
            <w:r>
              <w:rPr>
                <w:rFonts w:hint="eastAsia" w:ascii="方正仿宋_GBK" w:hAnsi="方正仿宋_GBK" w:eastAsia="方正仿宋_GBK" w:cs="方正仿宋_GBK"/>
                <w:b/>
                <w:i w:val="0"/>
                <w:color w:val="000000"/>
                <w:sz w:val="22"/>
                <w:szCs w:val="22"/>
                <w:u w:val="none"/>
                <w:lang w:val="en-US" w:eastAsia="zh-CN" w:bidi="ar"/>
              </w:rPr>
            </w:r>
            <w:r>
              <w:rPr>
                <w:rFonts w:hint="eastAsia" w:ascii="方正仿宋_GBK" w:hAnsi="方正仿宋_GBK" w:eastAsia="方正仿宋_GBK" w:cs="方正仿宋_GBK"/>
                <w:b/>
                <w:i w:val="0"/>
                <w:color w:val="000000"/>
                <w:sz w:val="22"/>
                <w:szCs w:val="22"/>
                <w:u w:val="none"/>
                <w:lang w:val="en-US" w:eastAsia="zh-CN" w:bidi="ar"/>
              </w:rPr>
            </w:r>
          </w:p>
        </w:tc>
      </w:tr>
      <w:tr>
        <w:trPr>
          <w:trHeight w:val="415"/>
        </w:trPr>
        <w:tc>
          <w:tcPr>
            <w:tcBorders/>
            <w:tcW w:w="448" w:type="dxa"/>
            <w:vAlign w:val="center"/>
            <w:vMerge w:val="continue"/>
            <w:textDirection w:val="lrTb"/>
            <w:noWrap/>
          </w:tcPr>
          <w:p>
            <w:pPr>
              <w:pStyle w:val="660"/>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1305" w:type="dxa"/>
            <w:vAlign w:val="center"/>
            <w:vMerge w:val="continue"/>
            <w:textDirection w:val="lrTb"/>
            <w:noWrap/>
          </w:tcPr>
          <w:p>
            <w:pPr>
              <w:pStyle w:val="660"/>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1545" w:type="dxa"/>
            <w:vAlign w:val="center"/>
            <w:vMerge w:val="continue"/>
            <w:textDirection w:val="lrTb"/>
            <w:noWrap w:val="false"/>
          </w:tcPr>
          <w:p>
            <w:pPr>
              <w:pStyle w:val="660"/>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3150" w:type="dxa"/>
            <w:vAlign w:val="center"/>
            <w:vMerge w:val="continue"/>
            <w:textDirection w:val="lrTb"/>
            <w:noWrap w:val="false"/>
          </w:tcPr>
          <w:p>
            <w:pPr>
              <w:pStyle w:val="660"/>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1485" w:type="dxa"/>
            <w:vAlign w:val="center"/>
            <w:vMerge w:val="continue"/>
            <w:textDirection w:val="lrTb"/>
            <w:noWrap w:val="false"/>
          </w:tcPr>
          <w:p>
            <w:pPr>
              <w:pStyle w:val="660"/>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810" w:type="dxa"/>
            <w:vAlign w:val="center"/>
            <w:vMerge w:val="continue"/>
            <w:textDirection w:val="lrTb"/>
            <w:noWrap w:val="false"/>
          </w:tcPr>
          <w:p>
            <w:pPr>
              <w:pStyle w:val="660"/>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1710" w:type="dxa"/>
            <w:vAlign w:val="center"/>
            <w:vMerge w:val="continue"/>
            <w:textDirection w:val="lrTb"/>
            <w:noWrap/>
          </w:tcPr>
          <w:p>
            <w:pPr>
              <w:pStyle w:val="660"/>
              <w:pBdr/>
              <w:spacing/>
              <w:ind/>
              <w:jc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sz w:val="22"/>
                <w:szCs w:val="22"/>
                <w:u w:val="none"/>
              </w:rPr>
            </w:r>
            <w:r>
              <w:rPr>
                <w:rFonts w:hint="eastAsia" w:ascii="方正仿宋_GBK" w:hAnsi="方正仿宋_GBK" w:eastAsia="方正仿宋_GBK" w:cs="方正仿宋_GBK"/>
                <w:b/>
                <w:i w:val="0"/>
                <w:color w:val="000000"/>
                <w:sz w:val="22"/>
                <w:szCs w:val="22"/>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三甲</w:t>
            </w:r>
            <w:r>
              <w:rPr>
                <w:rFonts w:hint="eastAsia" w:ascii="方正仿宋_GBK" w:hAnsi="方正仿宋_GBK" w:eastAsia="方正仿宋_GBK" w:cs="方正仿宋_GBK"/>
                <w:b/>
                <w:i w:val="0"/>
                <w:color w:val="000000"/>
                <w:sz w:val="22"/>
                <w:szCs w:val="22"/>
                <w:u w:val="none"/>
                <w:lang w:val="en-US" w:eastAsia="zh-CN" w:bidi="ar"/>
              </w:rPr>
            </w:r>
            <w:r>
              <w:rPr>
                <w:rFonts w:hint="eastAsia" w:ascii="方正仿宋_GBK" w:hAnsi="方正仿宋_GBK" w:eastAsia="方正仿宋_GBK" w:cs="方正仿宋_GBK"/>
                <w:b/>
                <w:i w:val="0"/>
                <w:color w:val="000000"/>
                <w:sz w:val="22"/>
                <w:szCs w:val="22"/>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三乙</w:t>
            </w:r>
            <w:r>
              <w:rPr>
                <w:rFonts w:hint="eastAsia" w:ascii="方正仿宋_GBK" w:hAnsi="方正仿宋_GBK" w:eastAsia="方正仿宋_GBK" w:cs="方正仿宋_GBK"/>
                <w:b/>
                <w:i w:val="0"/>
                <w:color w:val="000000"/>
                <w:sz w:val="22"/>
                <w:szCs w:val="22"/>
                <w:u w:val="none"/>
                <w:lang w:val="en-US" w:eastAsia="zh-CN" w:bidi="ar"/>
              </w:rPr>
            </w:r>
            <w:r>
              <w:rPr>
                <w:rFonts w:hint="eastAsia" w:ascii="方正仿宋_GBK" w:hAnsi="方正仿宋_GBK" w:eastAsia="方正仿宋_GBK" w:cs="方正仿宋_GBK"/>
                <w:b/>
                <w:i w:val="0"/>
                <w:color w:val="000000"/>
                <w:sz w:val="22"/>
                <w:szCs w:val="22"/>
                <w:u w:val="none"/>
                <w:lang w:val="en-US" w:eastAsia="zh-CN" w:bidi="ar"/>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二甲</w:t>
            </w:r>
            <w:r>
              <w:rPr>
                <w:rFonts w:hint="eastAsia" w:ascii="方正仿宋_GBK" w:hAnsi="方正仿宋_GBK" w:eastAsia="方正仿宋_GBK" w:cs="方正仿宋_GBK"/>
                <w:b/>
                <w:i w:val="0"/>
                <w:color w:val="000000"/>
                <w:sz w:val="22"/>
                <w:szCs w:val="22"/>
                <w:u w:val="none"/>
                <w:lang w:val="en-US" w:eastAsia="zh-CN" w:bidi="ar"/>
              </w:rPr>
            </w:r>
            <w:r>
              <w:rPr>
                <w:rFonts w:hint="eastAsia" w:ascii="方正仿宋_GBK" w:hAnsi="方正仿宋_GBK" w:eastAsia="方正仿宋_GBK" w:cs="方正仿宋_GBK"/>
                <w:b/>
                <w:i w:val="0"/>
                <w:color w:val="000000"/>
                <w:sz w:val="22"/>
                <w:szCs w:val="22"/>
                <w:u w:val="none"/>
                <w:lang w:val="en-US" w:eastAsia="zh-CN" w:bidi="ar"/>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二乙</w:t>
            </w:r>
            <w:r>
              <w:rPr>
                <w:rFonts w:hint="eastAsia" w:ascii="方正仿宋_GBK" w:hAnsi="方正仿宋_GBK" w:eastAsia="方正仿宋_GBK" w:cs="方正仿宋_GBK"/>
                <w:b/>
                <w:i w:val="0"/>
                <w:color w:val="000000"/>
                <w:sz w:val="22"/>
                <w:szCs w:val="22"/>
                <w:u w:val="none"/>
                <w:lang w:val="en-US" w:eastAsia="zh-CN" w:bidi="ar"/>
              </w:rPr>
            </w:r>
            <w:r>
              <w:rPr>
                <w:rFonts w:hint="eastAsia" w:ascii="方正仿宋_GBK" w:hAnsi="方正仿宋_GBK" w:eastAsia="方正仿宋_GBK" w:cs="方正仿宋_GBK"/>
                <w:b/>
                <w:i w:val="0"/>
                <w:color w:val="000000"/>
                <w:sz w:val="22"/>
                <w:szCs w:val="22"/>
                <w:u w:val="none"/>
                <w:lang w:val="en-US" w:eastAsia="zh-CN" w:bidi="ar"/>
              </w:rPr>
            </w:r>
          </w:p>
        </w:tc>
      </w:tr>
      <w:tr>
        <w:trPr>
          <w:trHeight w:val="96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111000004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多学科联合诊疗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由三个及以上多个相关学科的副主任医师（含）以上医务人员组成工作组，针对疑难疾病或危重症患者，量身定制个体化的综合诊疗方案</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超过3个学科，每增加1个学科加收25%，加收最多不超过50%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327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300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273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245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111000004-1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多学科联合诊疗（每增加1个学科加收）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120400011-2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中心静脉导管拔管术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809"/>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120800002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肠内高营养治疗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指经腹部造瘘置管的胃肠营养治疗, 含肠营养配置。特指不能进食的病人</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营养泵</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both"/>
              <w:rPr>
                <w:rFonts w:hint="eastAsia" w:ascii="方正书宋简体" w:hAnsi="方正书宋简体" w:eastAsia="方正书宋简体" w:cs="方正书宋简体"/>
                <w:i w:val="0"/>
                <w:color w:val="000000"/>
                <w:sz w:val="40"/>
                <w:szCs w:val="40"/>
                <w:u w:val="none"/>
              </w:rPr>
            </w:pPr>
            <w:r>
              <w:rPr>
                <w:rFonts w:hint="eastAsia" w:ascii="方正书宋简体" w:hAnsi="方正书宋简体" w:eastAsia="方正书宋简体" w:cs="方正书宋简体"/>
                <w:i w:val="0"/>
                <w:color w:val="000000"/>
                <w:sz w:val="40"/>
                <w:szCs w:val="40"/>
                <w:u w:val="none"/>
              </w:rPr>
            </w:r>
            <w:r>
              <w:rPr>
                <w:rFonts w:hint="eastAsia" w:ascii="方正书宋简体" w:hAnsi="方正书宋简体" w:eastAsia="方正书宋简体" w:cs="方正书宋简体"/>
                <w:i w:val="0"/>
                <w:color w:val="000000"/>
                <w:sz w:val="40"/>
                <w:szCs w:val="40"/>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9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210102017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非血管介入临床操作数字减影（DSA）引导</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780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702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631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569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1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210200000-1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三维容积重建加收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202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2"/>
        </w:trPr>
        <w:tc>
          <w:tcPr>
            <w:tcBorders/>
            <w:tcW w:w="448" w:type="dxa"/>
            <w:vAlign w:val="center"/>
            <w:vMerge w:val="restart"/>
            <w:textDirection w:val="lrTb"/>
            <w:noWrap w:val="false"/>
          </w:tcPr>
          <w:p>
            <w:pPr>
              <w:pStyle w:val="660"/>
              <w:keepNext w:val="false"/>
              <w:keepLines w:val="false"/>
              <w:widowControl w:val="true"/>
              <w:suppressLineNumbers w:val="false"/>
              <w:pBdr/>
              <w:spacing/>
              <w:ind/>
              <w:jc w:val="center"/>
              <w:rPr>
                <w:rFonts w:ascii="方正仿宋_GBK" w:hAnsi="方正仿宋_GBK" w:eastAsia="方正仿宋_GBK" w:cs="方正仿宋_GBK"/>
                <w:b/>
                <w:i w:val="0"/>
                <w:color w:val="000000"/>
                <w:sz w:val="22"/>
                <w:szCs w:val="22"/>
                <w:u w:val="none"/>
                <w:lang w:val="en-US" w:eastAsia="zh-CN" w:bidi="ar-SA"/>
              </w:rPr>
            </w:pPr>
            <w:r>
              <w:rPr>
                <w:rFonts w:hint="eastAsia" w:ascii="方正仿宋_GBK" w:hAnsi="方正仿宋_GBK" w:eastAsia="方正仿宋_GBK" w:cs="方正仿宋_GBK"/>
                <w:b/>
                <w:i w:val="0"/>
                <w:color w:val="000000"/>
                <w:sz w:val="22"/>
                <w:szCs w:val="22"/>
                <w:u w:val="none"/>
                <w:lang w:val="en-US" w:eastAsia="zh-CN" w:bidi="ar"/>
              </w:rPr>
              <w:t xml:space="preserve">序号</w:t>
            </w:r>
            <w:r>
              <w:rPr>
                <w:rFonts w:ascii="方正仿宋_GBK" w:hAnsi="方正仿宋_GBK" w:eastAsia="方正仿宋_GBK" w:cs="方正仿宋_GBK"/>
                <w:b/>
                <w:i w:val="0"/>
                <w:color w:val="000000"/>
                <w:sz w:val="22"/>
                <w:szCs w:val="22"/>
                <w:u w:val="none"/>
                <w:lang w:val="en-US" w:eastAsia="zh-CN" w:bidi="ar-SA"/>
              </w:rPr>
            </w:r>
            <w:r>
              <w:rPr>
                <w:rFonts w:ascii="方正仿宋_GBK" w:hAnsi="方正仿宋_GBK" w:eastAsia="方正仿宋_GBK" w:cs="方正仿宋_GBK"/>
                <w:b/>
                <w:i w:val="0"/>
                <w:color w:val="000000"/>
                <w:sz w:val="22"/>
                <w:szCs w:val="22"/>
                <w:u w:val="none"/>
                <w:lang w:val="en-US" w:eastAsia="zh-CN" w:bidi="ar-SA"/>
              </w:rPr>
            </w:r>
          </w:p>
        </w:tc>
        <w:tc>
          <w:tcPr>
            <w:tcBorders/>
            <w:tcW w:w="130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SA"/>
              </w:rPr>
            </w:pPr>
            <w:r>
              <w:rPr>
                <w:rFonts w:hint="eastAsia" w:ascii="方正仿宋_GBK" w:hAnsi="方正仿宋_GBK" w:eastAsia="方正仿宋_GBK" w:cs="方正仿宋_GBK"/>
                <w:b/>
                <w:i w:val="0"/>
                <w:color w:val="000000"/>
                <w:sz w:val="22"/>
                <w:szCs w:val="22"/>
                <w:u w:val="none"/>
                <w:lang w:val="en-US" w:eastAsia="zh-CN" w:bidi="ar"/>
              </w:rPr>
              <w:t xml:space="preserve">编码</w:t>
            </w:r>
            <w:r>
              <w:rPr>
                <w:rFonts w:hint="eastAsia" w:ascii="方正仿宋_GBK" w:hAnsi="方正仿宋_GBK" w:eastAsia="方正仿宋_GBK" w:cs="方正仿宋_GBK"/>
                <w:b/>
                <w:i w:val="0"/>
                <w:color w:val="000000"/>
                <w:sz w:val="22"/>
                <w:szCs w:val="22"/>
                <w:u w:val="none"/>
                <w:lang w:val="en-US" w:eastAsia="zh-CN" w:bidi="ar-SA"/>
              </w:rPr>
            </w:r>
            <w:r>
              <w:rPr>
                <w:rFonts w:hint="eastAsia" w:ascii="方正仿宋_GBK" w:hAnsi="方正仿宋_GBK" w:eastAsia="方正仿宋_GBK" w:cs="方正仿宋_GBK"/>
                <w:b/>
                <w:i w:val="0"/>
                <w:color w:val="000000"/>
                <w:sz w:val="22"/>
                <w:szCs w:val="22"/>
                <w:u w:val="none"/>
                <w:lang w:val="en-US" w:eastAsia="zh-CN" w:bidi="ar-SA"/>
              </w:rPr>
            </w:r>
          </w:p>
        </w:tc>
        <w:tc>
          <w:tcPr>
            <w:tcBorders/>
            <w:tcW w:w="154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SA"/>
              </w:rPr>
            </w:pPr>
            <w:r>
              <w:rPr>
                <w:rFonts w:hint="eastAsia" w:ascii="方正仿宋_GBK" w:hAnsi="方正仿宋_GBK" w:eastAsia="方正仿宋_GBK" w:cs="方正仿宋_GBK"/>
                <w:b/>
                <w:i w:val="0"/>
                <w:color w:val="000000"/>
                <w:sz w:val="22"/>
                <w:szCs w:val="22"/>
                <w:u w:val="none"/>
                <w:lang w:val="en-US" w:eastAsia="zh-CN" w:bidi="ar"/>
              </w:rPr>
              <w:t xml:space="preserve">项目名称</w:t>
            </w:r>
            <w:r>
              <w:rPr>
                <w:rFonts w:hint="eastAsia" w:ascii="方正仿宋_GBK" w:hAnsi="方正仿宋_GBK" w:eastAsia="方正仿宋_GBK" w:cs="方正仿宋_GBK"/>
                <w:b/>
                <w:i w:val="0"/>
                <w:color w:val="000000"/>
                <w:sz w:val="22"/>
                <w:szCs w:val="22"/>
                <w:u w:val="none"/>
                <w:lang w:val="en-US" w:eastAsia="zh-CN" w:bidi="ar-SA"/>
              </w:rPr>
            </w:r>
            <w:r>
              <w:rPr>
                <w:rFonts w:hint="eastAsia" w:ascii="方正仿宋_GBK" w:hAnsi="方正仿宋_GBK" w:eastAsia="方正仿宋_GBK" w:cs="方正仿宋_GBK"/>
                <w:b/>
                <w:i w:val="0"/>
                <w:color w:val="000000"/>
                <w:sz w:val="22"/>
                <w:szCs w:val="22"/>
                <w:u w:val="none"/>
                <w:lang w:val="en-US" w:eastAsia="zh-CN" w:bidi="ar-SA"/>
              </w:rPr>
            </w:r>
          </w:p>
        </w:tc>
        <w:tc>
          <w:tcPr>
            <w:tcBorders/>
            <w:tcW w:w="315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SA"/>
              </w:rPr>
            </w:pPr>
            <w:r>
              <w:rPr>
                <w:rFonts w:hint="eastAsia" w:ascii="方正仿宋_GBK" w:hAnsi="方正仿宋_GBK" w:eastAsia="方正仿宋_GBK" w:cs="方正仿宋_GBK"/>
                <w:b/>
                <w:i w:val="0"/>
                <w:color w:val="000000"/>
                <w:sz w:val="22"/>
                <w:szCs w:val="22"/>
                <w:u w:val="none"/>
                <w:lang w:val="en-US" w:eastAsia="zh-CN" w:bidi="ar"/>
              </w:rPr>
              <w:t xml:space="preserve">项目内涵</w:t>
            </w:r>
            <w:r>
              <w:rPr>
                <w:rFonts w:hint="eastAsia" w:ascii="方正仿宋_GBK" w:hAnsi="方正仿宋_GBK" w:eastAsia="方正仿宋_GBK" w:cs="方正仿宋_GBK"/>
                <w:b/>
                <w:i w:val="0"/>
                <w:color w:val="000000"/>
                <w:sz w:val="22"/>
                <w:szCs w:val="22"/>
                <w:u w:val="none"/>
                <w:lang w:val="en-US" w:eastAsia="zh-CN" w:bidi="ar-SA"/>
              </w:rPr>
            </w:r>
            <w:r>
              <w:rPr>
                <w:rFonts w:hint="eastAsia" w:ascii="方正仿宋_GBK" w:hAnsi="方正仿宋_GBK" w:eastAsia="方正仿宋_GBK" w:cs="方正仿宋_GBK"/>
                <w:b/>
                <w:i w:val="0"/>
                <w:color w:val="000000"/>
                <w:sz w:val="22"/>
                <w:szCs w:val="22"/>
                <w:u w:val="none"/>
                <w:lang w:val="en-US" w:eastAsia="zh-CN" w:bidi="ar-SA"/>
              </w:rPr>
            </w:r>
          </w:p>
        </w:tc>
        <w:tc>
          <w:tcPr>
            <w:tcBorders/>
            <w:tcW w:w="148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SA"/>
              </w:rPr>
            </w:pPr>
            <w:r>
              <w:rPr>
                <w:rFonts w:hint="eastAsia" w:ascii="方正仿宋_GBK" w:hAnsi="方正仿宋_GBK" w:eastAsia="方正仿宋_GBK" w:cs="方正仿宋_GBK"/>
                <w:b/>
                <w:i w:val="0"/>
                <w:color w:val="000000"/>
                <w:sz w:val="22"/>
                <w:szCs w:val="22"/>
                <w:u w:val="none"/>
                <w:lang w:val="en-US" w:eastAsia="zh-CN" w:bidi="ar"/>
              </w:rPr>
              <w:t xml:space="preserve">除外内容</w:t>
            </w:r>
            <w:r>
              <w:rPr>
                <w:rFonts w:hint="eastAsia" w:ascii="方正仿宋_GBK" w:hAnsi="方正仿宋_GBK" w:eastAsia="方正仿宋_GBK" w:cs="方正仿宋_GBK"/>
                <w:b/>
                <w:i w:val="0"/>
                <w:color w:val="000000"/>
                <w:sz w:val="22"/>
                <w:szCs w:val="22"/>
                <w:u w:val="none"/>
                <w:lang w:val="en-US" w:eastAsia="zh-CN" w:bidi="ar-SA"/>
              </w:rPr>
            </w:r>
            <w:r>
              <w:rPr>
                <w:rFonts w:hint="eastAsia" w:ascii="方正仿宋_GBK" w:hAnsi="方正仿宋_GBK" w:eastAsia="方正仿宋_GBK" w:cs="方正仿宋_GBK"/>
                <w:b/>
                <w:i w:val="0"/>
                <w:color w:val="000000"/>
                <w:sz w:val="22"/>
                <w:szCs w:val="22"/>
                <w:u w:val="none"/>
                <w:lang w:val="en-US" w:eastAsia="zh-CN" w:bidi="ar-SA"/>
              </w:rPr>
            </w:r>
          </w:p>
        </w:tc>
        <w:tc>
          <w:tcPr>
            <w:tcBorders/>
            <w:tcW w:w="8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SA"/>
              </w:rPr>
            </w:pPr>
            <w:r>
              <w:rPr>
                <w:rFonts w:hint="eastAsia" w:ascii="方正仿宋_GBK" w:hAnsi="方正仿宋_GBK" w:eastAsia="方正仿宋_GBK" w:cs="方正仿宋_GBK"/>
                <w:b/>
                <w:i w:val="0"/>
                <w:color w:val="000000"/>
                <w:sz w:val="22"/>
                <w:szCs w:val="22"/>
                <w:u w:val="none"/>
                <w:lang w:val="en-US" w:eastAsia="zh-CN" w:bidi="ar"/>
              </w:rPr>
              <w:t xml:space="preserve">计价单位</w:t>
            </w:r>
            <w:r>
              <w:rPr>
                <w:rFonts w:hint="eastAsia" w:ascii="方正仿宋_GBK" w:hAnsi="方正仿宋_GBK" w:eastAsia="方正仿宋_GBK" w:cs="方正仿宋_GBK"/>
                <w:b/>
                <w:i w:val="0"/>
                <w:color w:val="000000"/>
                <w:sz w:val="22"/>
                <w:szCs w:val="22"/>
                <w:u w:val="none"/>
                <w:lang w:val="en-US" w:eastAsia="zh-CN" w:bidi="ar-SA"/>
              </w:rPr>
            </w:r>
            <w:r>
              <w:rPr>
                <w:rFonts w:hint="eastAsia" w:ascii="方正仿宋_GBK" w:hAnsi="方正仿宋_GBK" w:eastAsia="方正仿宋_GBK" w:cs="方正仿宋_GBK"/>
                <w:b/>
                <w:i w:val="0"/>
                <w:color w:val="000000"/>
                <w:sz w:val="22"/>
                <w:szCs w:val="22"/>
                <w:u w:val="none"/>
                <w:lang w:val="en-US" w:eastAsia="zh-CN" w:bidi="ar-SA"/>
              </w:rPr>
            </w:r>
          </w:p>
        </w:tc>
        <w:tc>
          <w:tcPr>
            <w:tcBorders/>
            <w:tcW w:w="17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SA"/>
              </w:rPr>
            </w:pPr>
            <w:r>
              <w:rPr>
                <w:rFonts w:hint="eastAsia" w:ascii="方正仿宋_GBK" w:hAnsi="方正仿宋_GBK" w:eastAsia="方正仿宋_GBK" w:cs="方正仿宋_GBK"/>
                <w:b/>
                <w:i w:val="0"/>
                <w:color w:val="000000"/>
                <w:sz w:val="22"/>
                <w:szCs w:val="22"/>
                <w:u w:val="none"/>
                <w:lang w:val="en-US" w:eastAsia="zh-CN" w:bidi="ar"/>
              </w:rPr>
              <w:t xml:space="preserve">说明</w:t>
            </w:r>
            <w:r>
              <w:rPr>
                <w:rFonts w:hint="eastAsia" w:ascii="方正仿宋_GBK" w:hAnsi="方正仿宋_GBK" w:eastAsia="方正仿宋_GBK" w:cs="方正仿宋_GBK"/>
                <w:b/>
                <w:i w:val="0"/>
                <w:color w:val="000000"/>
                <w:sz w:val="22"/>
                <w:szCs w:val="22"/>
                <w:u w:val="none"/>
                <w:lang w:val="en-US" w:eastAsia="zh-CN" w:bidi="ar-SA"/>
              </w:rPr>
            </w:r>
            <w:r>
              <w:rPr>
                <w:rFonts w:hint="eastAsia" w:ascii="方正仿宋_GBK" w:hAnsi="方正仿宋_GBK" w:eastAsia="方正仿宋_GBK" w:cs="方正仿宋_GBK"/>
                <w:b/>
                <w:i w:val="0"/>
                <w:color w:val="000000"/>
                <w:sz w:val="22"/>
                <w:szCs w:val="22"/>
                <w:u w:val="none"/>
                <w:lang w:val="en-US" w:eastAsia="zh-CN" w:bidi="ar-SA"/>
              </w:rPr>
            </w:r>
          </w:p>
        </w:tc>
        <w:tc>
          <w:tcPr>
            <w:gridSpan w:val="4"/>
            <w:tcBorders/>
            <w:tcW w:w="326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广安市公立医疗机构价格（元）</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437"/>
        </w:trPr>
        <w:tc>
          <w:tcPr>
            <w:tcBorders/>
            <w:tcW w:w="448" w:type="dxa"/>
            <w:vAlign w:val="center"/>
            <w:vMerge w:val="continue"/>
            <w:textDirection w:val="lrTb"/>
            <w:noWrap w:val="false"/>
          </w:tcPr>
          <w:p>
            <w:pPr>
              <w:pStyle w:val="660"/>
              <w:pBdr/>
              <w:spacing/>
              <w:ind/>
              <w:jc w:val="center"/>
              <w:rPr>
                <w:rFonts w:ascii="Times New Roman" w:hAnsi="Times New Roman" w:eastAsia="宋体" w:cs="Times New Roman"/>
                <w:i w:val="0"/>
                <w:color w:val="000000"/>
                <w:sz w:val="18"/>
                <w:szCs w:val="18"/>
                <w:u w:val="none"/>
                <w:lang w:val="en-US" w:eastAsia="zh-CN" w:bidi="ar"/>
              </w:rPr>
            </w:pP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三甲</w:t>
            </w:r>
            <w:r>
              <w:rPr>
                <w:rFonts w:hint="eastAsia" w:ascii="方正仿宋_GBK" w:hAnsi="方正仿宋_GBK" w:eastAsia="方正仿宋_GBK" w:cs="方正仿宋_GBK"/>
                <w:b/>
                <w:i w:val="0"/>
                <w:color w:val="000000"/>
                <w:sz w:val="22"/>
                <w:szCs w:val="22"/>
                <w:u w:val="none"/>
                <w:lang w:val="en-US" w:eastAsia="zh-CN" w:bidi="ar"/>
              </w:rPr>
            </w:r>
            <w:r>
              <w:rPr>
                <w:rFonts w:hint="eastAsia" w:ascii="方正仿宋_GBK" w:hAnsi="方正仿宋_GBK" w:eastAsia="方正仿宋_GBK" w:cs="方正仿宋_GBK"/>
                <w:b/>
                <w:i w:val="0"/>
                <w:color w:val="000000"/>
                <w:sz w:val="22"/>
                <w:szCs w:val="22"/>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三乙</w:t>
            </w:r>
            <w:r>
              <w:rPr>
                <w:rFonts w:hint="eastAsia" w:ascii="方正仿宋_GBK" w:hAnsi="方正仿宋_GBK" w:eastAsia="方正仿宋_GBK" w:cs="方正仿宋_GBK"/>
                <w:b/>
                <w:i w:val="0"/>
                <w:color w:val="000000"/>
                <w:sz w:val="22"/>
                <w:szCs w:val="22"/>
                <w:u w:val="none"/>
                <w:lang w:val="en-US" w:eastAsia="zh-CN" w:bidi="ar"/>
              </w:rPr>
            </w:r>
            <w:r>
              <w:rPr>
                <w:rFonts w:hint="eastAsia" w:ascii="方正仿宋_GBK" w:hAnsi="方正仿宋_GBK" w:eastAsia="方正仿宋_GBK" w:cs="方正仿宋_GBK"/>
                <w:b/>
                <w:i w:val="0"/>
                <w:color w:val="000000"/>
                <w:sz w:val="22"/>
                <w:szCs w:val="22"/>
                <w:u w:val="none"/>
                <w:lang w:val="en-US" w:eastAsia="zh-CN" w:bidi="ar"/>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二甲</w:t>
            </w:r>
            <w:r>
              <w:rPr>
                <w:rFonts w:hint="eastAsia" w:ascii="方正仿宋_GBK" w:hAnsi="方正仿宋_GBK" w:eastAsia="方正仿宋_GBK" w:cs="方正仿宋_GBK"/>
                <w:b/>
                <w:i w:val="0"/>
                <w:color w:val="000000"/>
                <w:sz w:val="22"/>
                <w:szCs w:val="22"/>
                <w:u w:val="none"/>
                <w:lang w:val="en-US" w:eastAsia="zh-CN" w:bidi="ar"/>
              </w:rPr>
            </w:r>
            <w:r>
              <w:rPr>
                <w:rFonts w:hint="eastAsia" w:ascii="方正仿宋_GBK" w:hAnsi="方正仿宋_GBK" w:eastAsia="方正仿宋_GBK" w:cs="方正仿宋_GBK"/>
                <w:b/>
                <w:i w:val="0"/>
                <w:color w:val="000000"/>
                <w:sz w:val="22"/>
                <w:szCs w:val="22"/>
                <w:u w:val="none"/>
                <w:lang w:val="en-US" w:eastAsia="zh-CN" w:bidi="ar"/>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二乙</w:t>
            </w:r>
            <w:r>
              <w:rPr>
                <w:rFonts w:hint="eastAsia" w:ascii="方正仿宋_GBK" w:hAnsi="方正仿宋_GBK" w:eastAsia="方正仿宋_GBK" w:cs="方正仿宋_GBK"/>
                <w:b/>
                <w:i w:val="0"/>
                <w:color w:val="000000"/>
                <w:sz w:val="22"/>
                <w:szCs w:val="22"/>
                <w:u w:val="none"/>
                <w:lang w:val="en-US" w:eastAsia="zh-CN" w:bidi="ar"/>
              </w:rPr>
            </w:r>
            <w:r>
              <w:rPr>
                <w:rFonts w:hint="eastAsia" w:ascii="方正仿宋_GBK" w:hAnsi="方正仿宋_GBK" w:eastAsia="方正仿宋_GBK" w:cs="方正仿宋_GBK"/>
                <w:b/>
                <w:i w:val="0"/>
                <w:color w:val="000000"/>
                <w:sz w:val="22"/>
                <w:szCs w:val="22"/>
                <w:u w:val="none"/>
                <w:lang w:val="en-US" w:eastAsia="zh-CN" w:bidi="ar"/>
              </w:rPr>
            </w:r>
          </w:p>
        </w:tc>
      </w:tr>
      <w:tr>
        <w:trPr>
          <w:trHeight w:val="7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220302011-3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腔内彩色多普勒超声检查（排卵监测）</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r>
            <w:r>
              <w:rPr>
                <w:rFonts w:hint="eastAsia" w:ascii="宋体" w:hAnsi="宋体" w:eastAsia="宋体" w:cs="宋体"/>
                <w:i w:val="0"/>
                <w:color w:val="000000"/>
                <w:sz w:val="22"/>
                <w:szCs w:val="22"/>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8</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230200002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脑显象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四个体位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每增加一个体位加收15元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9</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230200002-1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脑显象(每增加一个体位加收)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一个体位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1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10</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230200007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甲状腺血流显象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1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11</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230200011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甲状旁腺显象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12</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负荷心肌灌注显象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含运动试验或药物注射；不含心电监护</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三个体位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每增加一个体位加收23元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13</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230200013-1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负荷心肌灌注显象(每增加一个体位加收)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一个体位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14</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230200014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静息门控心肌灌注显象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三个体位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每增加一个体位加收23元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15</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230200014-1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静息门控心肌灌注显象(每增加一个体位加收)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一个体位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16</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230200024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局部淋巴显象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一个体位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每增加一个体位加收39元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60"/>
        </w:trPr>
        <w:tc>
          <w:tcPr>
            <w:tcBorders/>
            <w:tcW w:w="448" w:type="dxa"/>
            <w:vAlign w:val="center"/>
            <w:vMerge w:val="restart"/>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序号</w:t>
            </w: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编码</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项目名称</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项目内涵</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除外内容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计价单位</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说明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gridSpan w:val="4"/>
            <w:tcBorders/>
            <w:tcW w:w="326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广安市公立医疗机构价格（元）</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430"/>
        </w:trPr>
        <w:tc>
          <w:tcPr>
            <w:tcBorders/>
            <w:tcW w:w="448" w:type="dxa"/>
            <w:vAlign w:val="center"/>
            <w:vMerge w:val="continue"/>
            <w:textDirection w:val="lrTb"/>
            <w:noWrap w:val="false"/>
          </w:tcPr>
          <w:p>
            <w:pPr>
              <w:pStyle w:val="660"/>
              <w:pBdr/>
              <w:spacing/>
              <w:ind/>
              <w:jc w:val="center"/>
              <w:rPr>
                <w:rFonts w:ascii="Times New Roman" w:hAnsi="Times New Roman" w:eastAsia="宋体" w:cs="Times New Roman"/>
                <w:i w:val="0"/>
                <w:color w:val="000000"/>
                <w:sz w:val="18"/>
                <w:szCs w:val="18"/>
                <w:u w:val="none"/>
                <w:lang w:val="en-US" w:eastAsia="zh-CN" w:bidi="ar"/>
              </w:rPr>
            </w:pP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7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17</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230200024-1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局部淋巴显象(每增加一个体位加收)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一个体位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18</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230200025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肺灌注显象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六个体位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每增加一个体位加收15元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19</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230200025-1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肺灌注显象(每增加一个体位加收)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一个体位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20</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230200026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肺通气显象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含气溶胶雾化吸入装置及气体</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六个体位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每增加一个体位加收15元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218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195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64"/>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21</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230200026-1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肺通气显象(每增加一个体位加收)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一个体位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607"/>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22</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230200033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异位胃粘膜显象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23</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230200045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肾动态显象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含肾血流显象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不做肾血流显象减收50元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19"/>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24</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230200045-1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肾动态显象（不做肾血流显象）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129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98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25</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230200046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肾动态显象＋肾小球滤过率（GFR）测定</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226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202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22"/>
        </w:trPr>
        <w:tc>
          <w:tcPr>
            <w:tcBorders/>
            <w:tcW w:w="448" w:type="dxa"/>
            <w:vAlign w:val="center"/>
            <w:vMerge w:val="restart"/>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序号</w:t>
            </w: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编码</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项目名称</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项目内涵</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48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除外内容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计价单位</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说明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gridSpan w:val="4"/>
            <w:tcBorders/>
            <w:tcW w:w="326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广安市公立医疗机构价格（元）</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377"/>
        </w:trPr>
        <w:tc>
          <w:tcPr>
            <w:tcBorders/>
            <w:tcW w:w="448" w:type="dxa"/>
            <w:vAlign w:val="center"/>
            <w:vMerge w:val="continue"/>
            <w:textDirection w:val="lrTb"/>
            <w:noWrap w:val="false"/>
          </w:tcPr>
          <w:p>
            <w:pPr>
              <w:pStyle w:val="660"/>
              <w:pBdr/>
              <w:spacing/>
              <w:ind/>
              <w:jc w:val="center"/>
              <w:rPr>
                <w:rFonts w:ascii="Times New Roman" w:hAnsi="Times New Roman" w:eastAsia="宋体" w:cs="Times New Roman"/>
                <w:i w:val="0"/>
                <w:color w:val="000000"/>
                <w:sz w:val="18"/>
                <w:szCs w:val="18"/>
                <w:u w:val="none"/>
                <w:lang w:val="en-US" w:eastAsia="zh-CN" w:bidi="ar"/>
              </w:rPr>
            </w:pP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48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157"/>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26</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230200054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骨三相显象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含血流、血质、静态显象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218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195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058"/>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27</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230400010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正电子发射计算机断层-X线计算机体层综合显像（PET/CT）</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核素药物，造影剂</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每个部位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全身显像4680元。未获得卫生部配置规划许可的，不得收费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2106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1895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1708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54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28</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230400010-1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正电子发射计算机断层-X线计算机体层综合显像（PET/CT）（全身显像）</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核素药物，造影剂</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4680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61"/>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29</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LDHZY001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热消融肿瘤治疗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指使用射频、微波、激光等设备对实体性肿瘤、囊实性肿瘤实行疗程式损毁治疗。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一次性消融针</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1451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1330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1209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1088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514"/>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30</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250303018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小密低密度脂蛋白（sdLDL）测定</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指梯度电泳法</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2149"/>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31</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250403085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甲乙型流感病毒抗原检测</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样本类型：鼻咽拭子样本、咽拭子样本、肺泡灌洗液、痰液。样本采集、签收，样本裂解液裂解，检测，质控，审核结果，录入实验室信息系统或人工登记，发送报告；按规定处理废弃物；接受临床相关咨询。包括甲型、乙型流感病毒。</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每种病毒</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33 </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25"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31 </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10"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27 </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03"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25 </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r>
      <w:tr>
        <w:trPr>
          <w:trHeight w:val="465"/>
        </w:trPr>
        <w:tc>
          <w:tcPr>
            <w:tcBorders/>
            <w:tcW w:w="448" w:type="dxa"/>
            <w:vAlign w:val="center"/>
            <w:vMerge w:val="restart"/>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序号</w:t>
            </w: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编码</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项目名称</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项目内涵</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48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除外内容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计价单位</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说明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gridSpan w:val="4"/>
            <w:tcBorders/>
            <w:tcW w:w="326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广安市公立医疗机构价格（元）</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430"/>
        </w:trPr>
        <w:tc>
          <w:tcPr>
            <w:tcBorders/>
            <w:tcW w:w="448" w:type="dxa"/>
            <w:vAlign w:val="center"/>
            <w:vMerge w:val="continue"/>
            <w:textDirection w:val="lrTb"/>
            <w:noWrap w:val="false"/>
          </w:tcPr>
          <w:p>
            <w:pPr>
              <w:pStyle w:val="660"/>
              <w:pBdr/>
              <w:spacing/>
              <w:ind/>
              <w:jc w:val="center"/>
              <w:rPr>
                <w:rFonts w:ascii="Times New Roman" w:hAnsi="Times New Roman" w:eastAsia="宋体" w:cs="Times New Roman"/>
                <w:i w:val="0"/>
                <w:color w:val="000000"/>
                <w:sz w:val="18"/>
                <w:szCs w:val="18"/>
                <w:u w:val="none"/>
                <w:lang w:val="en-US" w:eastAsia="zh-CN" w:bidi="ar"/>
              </w:rPr>
            </w:pP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48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96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32</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250403086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EB病毒Rta蛋白抗体检测</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样本类型：血清标本。样本采集、签收、处理、实验完成后判断并审核结果，录入实验室信息系统或人工登记，发送报告；按规定处理废弃物；接受临床相关咨询。</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854"/>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33</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250501039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细菌性阴道病唾液酸酶测定</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753"/>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34</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shd w:val="clear" w:color="auto" w:fill="ffffff"/>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250503021</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微小核糖核酸（microRNA）检测</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样本采集、签收、处理，检测、判读并审核结果，录入实验室信息系统或人工登记，发送报告；按规定处理废弃物；接受临床相关咨询。</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1485" w:type="dxa"/>
            <w:vAlign w:val="center"/>
            <w:textDirection w:val="lrTb"/>
            <w:noWrap w:val="false"/>
          </w:tcPr>
          <w:p>
            <w:pPr>
              <w:pStyle w:val="660"/>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项</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每增加一项加收27%，加收最多不超过6项。</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25"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343 </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25"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314 </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10"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286 </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03"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257 </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r>
      <w:tr>
        <w:trPr>
          <w:trHeight w:val="1193"/>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35</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shd w:val="clear" w:color="auto" w:fill="ffffff"/>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250503021-1</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微小核糖核酸（microRNA）检测（每增加一项加收）</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3150" w:type="dxa"/>
            <w:vAlign w:val="center"/>
            <w:textDirection w:val="lrTb"/>
            <w:noWrap w:val="false"/>
          </w:tcPr>
          <w:p>
            <w:pPr>
              <w:pStyle w:val="660"/>
              <w:pBdr/>
              <w:spacing/>
              <w:ind/>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1485" w:type="dxa"/>
            <w:vAlign w:val="center"/>
            <w:textDirection w:val="lrTb"/>
            <w:noWrap w:val="false"/>
          </w:tcPr>
          <w:p>
            <w:pPr>
              <w:pStyle w:val="660"/>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项</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1710" w:type="dxa"/>
            <w:vAlign w:val="center"/>
            <w:textDirection w:val="lrTb"/>
            <w:noWrap w:val="false"/>
          </w:tcPr>
          <w:p>
            <w:pPr>
              <w:pStyle w:val="660"/>
              <w:pBdr/>
              <w:spacing/>
              <w:ind/>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25"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27%</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25"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27%</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10"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27%</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803" w:type="dxa"/>
            <w:vAlign w:val="center"/>
            <w:textDirection w:val="lrTb"/>
            <w:noWrap/>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27%</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r>
      <w:tr>
        <w:trPr>
          <w:trHeight w:val="1556"/>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36</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250700010-3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唐氏综合症筛查（每增加一联加收）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571"/>
        </w:trPr>
        <w:tc>
          <w:tcPr>
            <w:tcBorders/>
            <w:tcW w:w="448" w:type="dxa"/>
            <w:vAlign w:val="center"/>
            <w:vMerge w:val="restart"/>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序号</w:t>
            </w: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编码</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项目名称</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项目内涵</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除外内容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计价单位</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说明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gridSpan w:val="4"/>
            <w:tcBorders/>
            <w:tcW w:w="326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广安市公立医疗机构价格（元）</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491"/>
        </w:trPr>
        <w:tc>
          <w:tcPr>
            <w:tcBorders/>
            <w:tcW w:w="448" w:type="dxa"/>
            <w:vAlign w:val="center"/>
            <w:vMerge w:val="continue"/>
            <w:textDirection w:val="lrTb"/>
            <w:noWrap w:val="false"/>
          </w:tcPr>
          <w:p>
            <w:pPr>
              <w:pStyle w:val="660"/>
              <w:pBdr/>
              <w:spacing/>
              <w:ind/>
              <w:jc w:val="center"/>
              <w:rPr>
                <w:rFonts w:ascii="Times New Roman" w:hAnsi="Times New Roman" w:eastAsia="宋体" w:cs="Times New Roman"/>
                <w:i w:val="0"/>
                <w:color w:val="000000"/>
                <w:sz w:val="18"/>
                <w:szCs w:val="18"/>
                <w:u w:val="none"/>
                <w:lang w:val="en-US" w:eastAsia="zh-CN" w:bidi="ar"/>
              </w:rPr>
            </w:pP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1381"/>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37</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270500001-1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特殊染色及酶组织化学染色诊断（每个标本每种染色仪器法加收）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每个标本，每种染色</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44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38</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270500005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（PD-L1）蛋白表达水平检测</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样本类型：组织。样本采集、签收、处理，加免疫试剂，温育，检测，质控，医师判读计数，审核结果，录入实验室信息系统或人工登记，发送报告；按规定处理废弃物；检测结果用于确诊样本的PD-L1蛋白表达，用于指导免疫治疗用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1908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1749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1590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1431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403"/>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39</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270700005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人乳头瘤病毒（HPV）E6E7mRNA检测</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样本采集、签收、处理，检测样本，审核结果，录入实验室信息系统或人工登记，发送报告；按规定处理废弃物；接受临床相关咨询。</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适应于感染高危14种HPV病毒阳性下进行</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214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195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9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40</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310401050 </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耳鸣声学干预治疗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通过合理匹配参数，进行调频调幅信号调控处理，制定个性化声学刺激信号，以抑制或减缓耳鸣。</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适用于扰人性耳鸣</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690"/>
        </w:trPr>
        <w:tc>
          <w:tcPr>
            <w:tcBorders/>
            <w:tcW w:w="448" w:type="dxa"/>
            <w:vAlign w:val="center"/>
            <w:vMerge w:val="restart"/>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序号</w:t>
            </w: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编码</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项目名称</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项目内涵</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48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除外内容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计价单位</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说明</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gridSpan w:val="4"/>
            <w:tcBorders/>
            <w:tcW w:w="326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广安市公立医疗机构价格（元）</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570"/>
        </w:trPr>
        <w:tc>
          <w:tcPr>
            <w:tcBorders/>
            <w:tcW w:w="448" w:type="dxa"/>
            <w:vAlign w:val="center"/>
            <w:vMerge w:val="continue"/>
            <w:textDirection w:val="lrTb"/>
            <w:noWrap w:val="false"/>
          </w:tcPr>
          <w:p>
            <w:pPr>
              <w:pStyle w:val="660"/>
              <w:pBdr/>
              <w:spacing/>
              <w:ind/>
              <w:jc w:val="center"/>
              <w:rPr>
                <w:rFonts w:ascii="Times New Roman" w:hAnsi="Times New Roman" w:eastAsia="宋体" w:cs="Times New Roman"/>
                <w:i w:val="0"/>
                <w:color w:val="000000"/>
                <w:sz w:val="18"/>
                <w:szCs w:val="18"/>
                <w:u w:val="none"/>
                <w:lang w:val="en-US" w:eastAsia="zh-CN" w:bidi="ar"/>
              </w:rPr>
            </w:pP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48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360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41</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310604007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俯卧位通气治疗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将有创通气的急性呼吸窘迫综合征患者的体位调整为俯卧位，以纠正严重低氧血症和改善临床预后。所定价格涵盖评估患者情况、翻转体位、调整各种管路连线、观察记录等操作步骤的人力资源和基本物质资源消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首次限重度ARDS（氧合指数≤150mmHg）和有创机械通气（气管插管或气管切开），常规治疗无效患者。治疗后氧合指数≥200mmHg停止收费。2.俯卧位通气治疗时长累计超过12小时的，再次实施该治疗可重新计费，每天收费不超过2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95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20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42</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FJD01603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超声支气管镜检查</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咽部麻醉、润滑，插入超声支气管镜，观察气道变化，将超声水囊充满，观察支气管壁及壁外结构。必要时病变部位进行经支气管淋巴结针吸活检。标本送细胞学和组织学等检查。不含病理学检查、活检。</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一次性吸引活检针</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支气管淋巴结针吸活检术加收234元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725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665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604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544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575"/>
        </w:trPr>
        <w:tc>
          <w:tcPr>
            <w:tcBorders/>
            <w:tcW w:w="448" w:type="dxa"/>
            <w:vAlign w:val="center"/>
            <w:vMerge w:val="restart"/>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序号</w:t>
            </w: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编码</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项目名称</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项目内涵</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除外内容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计价单位</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说明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gridSpan w:val="4"/>
            <w:tcBorders/>
            <w:tcW w:w="326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广安市公立医疗机构价格（元）</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620"/>
        </w:trPr>
        <w:tc>
          <w:tcPr>
            <w:tcBorders/>
            <w:tcW w:w="448" w:type="dxa"/>
            <w:vAlign w:val="center"/>
            <w:vMerge w:val="continue"/>
            <w:textDirection w:val="lrTb"/>
            <w:noWrap w:val="false"/>
          </w:tcPr>
          <w:p>
            <w:pPr>
              <w:pStyle w:val="660"/>
              <w:pBdr/>
              <w:spacing/>
              <w:ind/>
              <w:jc w:val="center"/>
              <w:rPr>
                <w:rFonts w:ascii="Times New Roman" w:hAnsi="Times New Roman" w:eastAsia="宋体" w:cs="Times New Roman"/>
                <w:i w:val="0"/>
                <w:color w:val="000000"/>
                <w:sz w:val="18"/>
                <w:szCs w:val="18"/>
                <w:u w:val="none"/>
                <w:lang w:val="en-US" w:eastAsia="zh-CN" w:bidi="ar"/>
              </w:rPr>
            </w:pP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1156"/>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43</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FJD01603-1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超声支气管镜检查(支气管淋巴结针吸活检术加收)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964"/>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44</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KJA21905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高浓度氧射流雾化治疗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高压氧常规治疗中应用高浓度氧射流雾化装置进行雾化吸入治疗。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60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45</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310702023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shd w:val="clear" w:color="auto" w:fill="ffffff"/>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医学3D建模（心腔）</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shd w:val="clear" w:color="auto" w:fill="ffffff"/>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bidi="ar"/>
              </w:rPr>
              <w:t xml:space="preserve">利用医学影像检查等手段获得患者特定部位的真实信息，通过数字技术构建的虚拟3D模型、真实再现特定部位的形态，能够满足疾病诊断、手术规划、治疗的需要。</w:t>
            </w:r>
            <w:r>
              <w:rPr>
                <w:rFonts w:hint="eastAsia" w:ascii="宋体" w:hAnsi="宋体" w:eastAsia="宋体" w:cs="宋体"/>
                <w:i w:val="0"/>
                <w:color w:val="000000"/>
                <w:sz w:val="20"/>
                <w:szCs w:val="20"/>
                <w:u w:val="none"/>
              </w:rPr>
            </w:r>
            <w:r>
              <w:rPr>
                <w:rFonts w:hint="eastAsia" w:ascii="宋体" w:hAnsi="宋体" w:eastAsia="宋体" w:cs="宋体"/>
                <w:i w:val="0"/>
                <w:color w:val="000000"/>
                <w:sz w:val="20"/>
                <w:szCs w:val="20"/>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血管鞘</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1031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946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860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774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46</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310902001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胃肠电图</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动态胃电图、导纳式胃动力检测加收15元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64"/>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47</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310902001-1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胃肠电图(动态胃电图加收)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48</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310902001-2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胃肠电图(导纳式胃动力检测加收)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540"/>
        </w:trPr>
        <w:tc>
          <w:tcPr>
            <w:tcBorders/>
            <w:tcW w:w="448" w:type="dxa"/>
            <w:vAlign w:val="center"/>
            <w:vMerge w:val="restart"/>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序号</w:t>
            </w: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编码</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项目名称</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项目内涵</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48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除外内容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计价单位</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说明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gridSpan w:val="4"/>
            <w:tcBorders/>
            <w:tcW w:w="326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广安市公立医疗机构价格（元）</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505"/>
        </w:trPr>
        <w:tc>
          <w:tcPr>
            <w:tcBorders/>
            <w:tcW w:w="448" w:type="dxa"/>
            <w:vAlign w:val="center"/>
            <w:vMerge w:val="continue"/>
            <w:textDirection w:val="lrTb"/>
            <w:noWrap w:val="false"/>
          </w:tcPr>
          <w:p>
            <w:pPr>
              <w:pStyle w:val="660"/>
              <w:pBdr/>
              <w:spacing/>
              <w:ind/>
              <w:jc w:val="center"/>
              <w:rPr>
                <w:rFonts w:ascii="Times New Roman" w:hAnsi="Times New Roman" w:eastAsia="宋体" w:cs="Times New Roman"/>
                <w:i w:val="0"/>
                <w:color w:val="000000"/>
                <w:sz w:val="18"/>
                <w:szCs w:val="18"/>
                <w:u w:val="none"/>
                <w:lang w:val="en-US" w:eastAsia="zh-CN" w:bidi="ar"/>
              </w:rPr>
            </w:pP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48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1401"/>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49</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310905028 </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肝脏储备功能测定</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摆位，消毒，推注药物，将检查仪与患者连接，监测记录，出具肝脏储备功能定量诊断报告。</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124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93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216"/>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50</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311000026-2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经输尿管镜碎石取石术（激光法加收）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ff0000"/>
                <w:sz w:val="18"/>
                <w:szCs w:val="18"/>
                <w:u w:val="none"/>
              </w:rPr>
            </w:pPr>
            <w:r>
              <w:rPr>
                <w:rFonts w:hint="eastAsia" w:ascii="宋体" w:hAnsi="宋体" w:eastAsia="宋体" w:cs="宋体"/>
                <w:i w:val="0"/>
                <w:color w:val="ff0000"/>
                <w:sz w:val="18"/>
                <w:szCs w:val="18"/>
                <w:u w:val="none"/>
              </w:rPr>
            </w:r>
            <w:r>
              <w:rPr>
                <w:rFonts w:hint="eastAsia" w:ascii="宋体" w:hAnsi="宋体" w:eastAsia="宋体" w:cs="宋体"/>
                <w:i w:val="0"/>
                <w:color w:val="ff0000"/>
                <w:sz w:val="18"/>
                <w:szCs w:val="18"/>
                <w:u w:val="none"/>
              </w:rPr>
            </w:r>
          </w:p>
        </w:tc>
        <w:tc>
          <w:tcPr>
            <w:tcBorders/>
            <w:tcW w:w="1485" w:type="dxa"/>
            <w:vAlign w:val="center"/>
            <w:textDirection w:val="lrTb"/>
            <w:noWrap w:val="false"/>
          </w:tcPr>
          <w:p>
            <w:pPr>
              <w:pStyle w:val="660"/>
              <w:pBdr/>
              <w:spacing/>
              <w:ind/>
              <w:jc w:val="left"/>
              <w:rPr>
                <w:rFonts w:hint="eastAsia" w:ascii="宋体" w:hAnsi="宋体" w:eastAsia="宋体" w:cs="宋体"/>
                <w:i w:val="0"/>
                <w:color w:val="ff0000"/>
                <w:sz w:val="18"/>
                <w:szCs w:val="18"/>
                <w:u w:val="none"/>
              </w:rPr>
            </w:pPr>
            <w:r>
              <w:rPr>
                <w:rFonts w:hint="eastAsia" w:ascii="宋体" w:hAnsi="宋体" w:eastAsia="宋体" w:cs="宋体"/>
                <w:i w:val="0"/>
                <w:color w:val="ff0000"/>
                <w:sz w:val="18"/>
                <w:szCs w:val="18"/>
                <w:u w:val="none"/>
              </w:rPr>
            </w:r>
            <w:r>
              <w:rPr>
                <w:rFonts w:hint="eastAsia" w:ascii="宋体" w:hAnsi="宋体" w:eastAsia="宋体" w:cs="宋体"/>
                <w:i w:val="0"/>
                <w:color w:val="ff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ff0000"/>
                <w:sz w:val="18"/>
                <w:szCs w:val="18"/>
                <w:u w:val="none"/>
              </w:rPr>
            </w:pPr>
            <w:r>
              <w:rPr>
                <w:rFonts w:hint="eastAsia" w:ascii="宋体" w:hAnsi="宋体" w:eastAsia="宋体" w:cs="宋体"/>
                <w:i w:val="0"/>
                <w:color w:val="ff0000"/>
                <w:sz w:val="18"/>
                <w:szCs w:val="18"/>
                <w:u w:val="none"/>
              </w:rPr>
            </w:r>
            <w:r>
              <w:rPr>
                <w:rFonts w:hint="eastAsia" w:ascii="宋体" w:hAnsi="宋体" w:eastAsia="宋体" w:cs="宋体"/>
                <w:i w:val="0"/>
                <w:color w:val="ff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732"/>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51</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311000042 </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家庭腹膜透析治疗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对院外自行进行腹膜透析治疗的患者按照《腹膜透析标准操作规程》（SOP）进行规范的培训、指导、随访，以及患者定期回到医院，由腹膜医生或护士对患者临床状况进行评估（含出口处及隧道评估、导管相关并发症评估、腹膜炎危险因素评估、生存质量、营养及心理状态评估、透析处方和药物调整、处理患者居家透析常见问题）。每月至少随访1次，记录随访、评估及指导情况。</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碘伏帽</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月</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ff0000"/>
                <w:sz w:val="18"/>
                <w:szCs w:val="18"/>
                <w:u w:val="none"/>
              </w:rPr>
            </w:pPr>
            <w:r>
              <w:rPr>
                <w:rFonts w:hint="eastAsia" w:ascii="宋体" w:hAnsi="宋体" w:eastAsia="宋体" w:cs="宋体"/>
                <w:i w:val="0"/>
                <w:color w:val="ff0000"/>
                <w:sz w:val="18"/>
                <w:szCs w:val="18"/>
                <w:u w:val="none"/>
              </w:rPr>
            </w:r>
            <w:r>
              <w:rPr>
                <w:rFonts w:hint="eastAsia" w:ascii="宋体" w:hAnsi="宋体" w:eastAsia="宋体" w:cs="宋体"/>
                <w:i w:val="0"/>
                <w:color w:val="ff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226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207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bl>
    <w:p>
      <w:pPr>
        <w:pStyle w:val="660"/>
        <w:keepNext w:val="false"/>
        <w:keepLines w:val="false"/>
        <w:widowControl w:val="true"/>
        <w:suppressLineNumbers w:val="false"/>
        <w:pBdr/>
        <w:spacing/>
        <w:ind/>
        <w:jc w:val="center"/>
        <w:rPr>
          <w:rFonts w:hint="eastAsia" w:ascii="方正仿宋_GBK" w:hAnsi="方正仿宋_GBK" w:eastAsia="方正仿宋_GBK" w:cs="方正仿宋_GBK"/>
          <w:b/>
          <w:i w:val="0"/>
          <w:color w:val="000000"/>
          <w:sz w:val="22"/>
          <w:szCs w:val="22"/>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r>
      <w:r>
        <w:rPr>
          <w:rFonts w:hint="eastAsia" w:ascii="方正仿宋_GBK" w:hAnsi="方正仿宋_GBK" w:eastAsia="方正仿宋_GBK" w:cs="方正仿宋_GBK"/>
          <w:b/>
          <w:i w:val="0"/>
          <w:color w:val="000000"/>
          <w:sz w:val="22"/>
          <w:szCs w:val="22"/>
          <w:u w:val="none"/>
          <w:lang w:val="en-US" w:eastAsia="zh-CN" w:bidi="ar"/>
        </w:rPr>
      </w:r>
    </w:p>
    <w:tbl>
      <w:tblPr>
        <w:tblW w:w="13716" w:type="dxa"/>
        <w:tblInd w:w="-1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448"/>
        <w:gridCol w:w="1305"/>
        <w:gridCol w:w="1545"/>
        <w:gridCol w:w="3150"/>
        <w:gridCol w:w="1485"/>
        <w:gridCol w:w="810"/>
        <w:gridCol w:w="1710"/>
        <w:gridCol w:w="825"/>
        <w:gridCol w:w="825"/>
        <w:gridCol w:w="810"/>
        <w:gridCol w:w="803"/>
      </w:tblGrid>
      <w:tr>
        <w:trPr>
          <w:trHeight w:val="90"/>
          <w:tblHeader/>
        </w:trPr>
        <w:tc>
          <w:tcPr>
            <w:tcBorders/>
            <w:tcW w:w="448" w:type="dxa"/>
            <w:vAlign w:val="center"/>
            <w:vMerge w:val="restart"/>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序号</w:t>
            </w: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编码</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项目名称</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项目内涵</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485"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除外内容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计价单位</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restart"/>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方正仿宋_GBK" w:hAnsi="方正仿宋_GBK" w:eastAsia="方正仿宋_GBK" w:cs="方正仿宋_GBK"/>
                <w:b/>
                <w:i w:val="0"/>
                <w:color w:val="000000"/>
                <w:sz w:val="22"/>
                <w:szCs w:val="22"/>
                <w:u w:val="none"/>
                <w:lang w:val="en-US" w:eastAsia="zh-CN" w:bidi="ar"/>
              </w:rPr>
              <w:t xml:space="preserve">说明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gridSpan w:val="4"/>
            <w:tcBorders/>
            <w:tcW w:w="326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广安市公立医疗机构价格（元）</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247"/>
          <w:tblHeader/>
        </w:trPr>
        <w:tc>
          <w:tcPr>
            <w:tcBorders/>
            <w:tcW w:w="448" w:type="dxa"/>
            <w:vAlign w:val="center"/>
            <w:vMerge w:val="continue"/>
            <w:textDirection w:val="lrTb"/>
            <w:noWrap w:val="false"/>
          </w:tcPr>
          <w:p>
            <w:pPr>
              <w:pStyle w:val="660"/>
              <w:pBdr/>
              <w:spacing/>
              <w:ind/>
              <w:jc w:val="center"/>
              <w:rPr>
                <w:rFonts w:ascii="Times New Roman" w:hAnsi="Times New Roman" w:eastAsia="宋体" w:cs="Times New Roman"/>
                <w:i w:val="0"/>
                <w:color w:val="000000"/>
                <w:sz w:val="18"/>
                <w:szCs w:val="18"/>
                <w:u w:val="none"/>
                <w:lang w:val="en-US" w:eastAsia="zh-CN" w:bidi="ar"/>
              </w:rPr>
            </w:pPr>
            <w:r>
              <w:rPr>
                <w:rFonts w:ascii="Times New Roman" w:hAnsi="Times New Roman" w:eastAsia="宋体" w:cs="Times New Roman"/>
                <w:i w:val="0"/>
                <w:color w:val="000000"/>
                <w:sz w:val="18"/>
                <w:szCs w:val="18"/>
                <w:u w:val="none"/>
                <w:lang w:val="en-US" w:eastAsia="zh-CN" w:bidi="ar"/>
              </w:rPr>
            </w:r>
            <w:r>
              <w:rPr>
                <w:rFonts w:ascii="Times New Roman" w:hAnsi="Times New Roman" w:eastAsia="宋体" w:cs="Times New Roman"/>
                <w:i w:val="0"/>
                <w:color w:val="000000"/>
                <w:sz w:val="18"/>
                <w:szCs w:val="18"/>
                <w:u w:val="none"/>
                <w:lang w:val="en-US" w:eastAsia="zh-CN" w:bidi="ar"/>
              </w:rPr>
            </w:r>
          </w:p>
        </w:tc>
        <w:tc>
          <w:tcPr>
            <w:tcBorders/>
            <w:tcW w:w="130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54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315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485"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lang w:val="en-US" w:eastAsia="zh-CN" w:bidi="ar"/>
              </w:rPr>
            </w:pP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1710" w:type="dxa"/>
            <w:vAlign w:val="center"/>
            <w:vMerge w:val="continue"/>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三乙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二甲</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lang w:val="en-US" w:eastAsia="zh-CN" w:bidi="ar"/>
              </w:rPr>
            </w:pPr>
            <w:r>
              <w:rPr>
                <w:rFonts w:hint="eastAsia" w:ascii="方正仿宋_GBK" w:hAnsi="方正仿宋_GBK" w:eastAsia="方正仿宋_GBK" w:cs="方正仿宋_GBK"/>
                <w:b/>
                <w:i w:val="0"/>
                <w:color w:val="000000"/>
                <w:sz w:val="22"/>
                <w:szCs w:val="22"/>
                <w:u w:val="none"/>
                <w:lang w:val="en-US" w:eastAsia="zh-CN" w:bidi="ar"/>
              </w:rPr>
              <w:t xml:space="preserve">二乙</w:t>
            </w:r>
            <w:r>
              <w:rPr>
                <w:rFonts w:hint="eastAsia" w:ascii="宋体" w:hAnsi="宋体" w:eastAsia="宋体" w:cs="宋体"/>
                <w:i w:val="0"/>
                <w:color w:val="000000"/>
                <w:sz w:val="18"/>
                <w:szCs w:val="18"/>
                <w:u w:val="none"/>
                <w:lang w:val="en-US" w:eastAsia="zh-CN" w:bidi="ar"/>
              </w:rPr>
            </w:r>
            <w:r>
              <w:rPr>
                <w:rFonts w:hint="eastAsia" w:ascii="宋体" w:hAnsi="宋体" w:eastAsia="宋体" w:cs="宋体"/>
                <w:i w:val="0"/>
                <w:color w:val="000000"/>
                <w:sz w:val="18"/>
                <w:szCs w:val="18"/>
                <w:u w:val="none"/>
                <w:lang w:val="en-US" w:eastAsia="zh-CN" w:bidi="ar"/>
              </w:rPr>
            </w:r>
          </w:p>
        </w:tc>
      </w:tr>
      <w:tr>
        <w:trPr>
          <w:trHeight w:val="2144"/>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52</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311000043 </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功能不良内瘘溶栓术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对于内瘘在使用过程中出现出血不畅，不能保证足够的血液量供血液净化治疗，经过一系列检查考虑有血栓形成，需要用溶栓药物治疗内瘘功能不良。一般用溶栓药物注射进瘘管，保留一段时间后观察内瘘通畅程度是否改善。</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511"/>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53</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311400005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皮肤生理指标系统分析</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含色素、皮脂、水份、PH测定及局部色彩图象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35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54</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311400059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皮肤镜检测诊断</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明确检测部位，消毒镜头与皮肤接触面，皮肤镜下微距摄影，就皮损色泽、边界、形态等进行分析，出具图文报告。</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每个视野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2774"/>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55</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320400004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经导管主动脉瓣植入术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在备有除颤仪、麻醉机、心电监护的条件下，全身麻醉或者局麻加深度镇静后穿刺股动脉，在血管造影机透视下将人工心脏瓣膜输送至主动脉瓣区打开释放，行心脏造影及经食道超声心动图评估瓣膜稳定性及工作情况、与周围结构关系处于良好状态后，撤出输送系统后封闭血管完成手术。含监护、DSA引导。</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人工瓣膜及输送系统</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4867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4461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4056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3650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cantSplit/>
          <w:trHeight w:val="5031"/>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56</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320500017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冠脉血管内压力导丝测定术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在备有除颤仪及除颤电极的条件下，消毒铺巾，局部麻醉，穿刺动脉，放置鞘管，冠状动脉造影后经鞘管在监护仪监护及DSA引导下，沿引导钢丝将指引导管送至冠状动脉开口，根据冠状动脉造影结果决定需要检查的病变，将压力导丝尾端连接处理工作站后将其尖端送至指引导管尖端，以测得的压力进行校准，之后将压力导丝通过病变送至病变血管远端，缓慢回撤，同步记录压力并计算血流储备分数，对数据进行分析。必要时可冠脉内或静脉内注射扩张血管药物，了解冠脉血流储备。含监护、DSA引导。</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血管鞘</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无创冠脉功能血流储备分数测定适用于稳定型冠心病(SCAD)患者的血管功能评估、急性冠脉综合征非罪犯血管功能评估，价格按该标准收取。</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2049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1879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1708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1537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939"/>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57</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320500017-1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冠脉血管内压力导丝测定术(无创冠脉功能血流储备分数测定)</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适用于稳定型冠心病(SCAD)患者的血管功能评估、急性冠脉综合征非罪犯血管功能评估。</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2049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1879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1708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1537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533"/>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58</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330000000-28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pageBreakBefore w:val="false"/>
              <w:widowControl w:val="true"/>
              <w:suppressLineNumbers w:val="false"/>
              <w:pBdr/>
              <w:spacing w:line="24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术中荧光显影辅助操作加收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pBdr/>
              <w:spacing w:line="24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pageBreakBefore w:val="false"/>
              <w:pBdr/>
              <w:spacing w:line="24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pageBreakBefore w:val="false"/>
              <w:widowControl w:val="true"/>
              <w:suppressLineNumbers w:val="false"/>
              <w:pBdr/>
              <w:spacing w:line="24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pageBreakBefore w:val="false"/>
              <w:pBdr/>
              <w:spacing w:line="24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981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899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736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38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59</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330100003-7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pageBreakBefore w:val="false"/>
              <w:widowControl w:val="true"/>
              <w:suppressLineNumbers w:val="false"/>
              <w:pBdr/>
              <w:spacing w:line="26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椎管内麻醉(分娩镇痛加收)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pBdr/>
              <w:spacing w:line="26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pageBreakBefore w:val="false"/>
              <w:pBdr/>
              <w:spacing w:line="26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pageBreakBefore w:val="false"/>
              <w:widowControl w:val="true"/>
              <w:suppressLineNumbers w:val="false"/>
              <w:pBdr/>
              <w:spacing w:line="26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2小时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pageBreakBefore w:val="false"/>
              <w:widowControl w:val="true"/>
              <w:suppressLineNumbers w:val="false"/>
              <w:pBdr/>
              <w:spacing w:line="26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椎管内分娩镇痛，2小时内加收371元，超过2小时每增加1小时在椎管内麻醉基础上加收113元，加收总费用不超过1288元，使用一次性麻醉呼吸回路、镇痛泵单独计费。椎管内分娩镇痛不与术后镇痛同时计费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1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60</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330100003-8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pageBreakBefore w:val="false"/>
              <w:widowControl w:val="true"/>
              <w:suppressLineNumbers w:val="false"/>
              <w:pBdr/>
              <w:spacing w:line="26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椎管内麻醉(分娩镇痛超过2小时每增加1小时加收)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pBdr/>
              <w:spacing w:line="26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pageBreakBefore w:val="false"/>
              <w:pBdr/>
              <w:spacing w:line="26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pageBreakBefore w:val="false"/>
              <w:widowControl w:val="true"/>
              <w:suppressLineNumbers w:val="false"/>
              <w:pBdr/>
              <w:spacing w:line="26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1小时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pageBreakBefore w:val="false"/>
              <w:widowControl w:val="true"/>
              <w:suppressLineNumbers w:val="false"/>
              <w:pBdr/>
              <w:spacing w:line="26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椎管内分娩镇痛，2小时内加收371元，超过2小时每增加1小时在椎管内麻醉基础上加收113元，加收总费用不超过1288元，使用一次性麻醉呼吸回路、镇痛泵单独计费。椎管内分娩镇痛不与术后镇痛同时计费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61</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330204016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经胸腔镜交感神经链切除术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2830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2594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2358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2123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1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62</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330406020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晶体张力环置入术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张力环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单侧</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354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318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283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96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63</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331203014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显微镜下精索静脉曲张低位结扎术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经腹股沟管或外环下切口低位入路，游离精索，显微镜下结扎所有精索静脉，保留睾丸动脉、淋巴管及输精管静脉，缝合切口。</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单侧</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1439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1319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1199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1079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1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64</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331602008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脂肪抽吸术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不含脂肪注射</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每毫升</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9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65</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HYS89316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毛囊单位提取毛发移植术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设计确定移植区，消毒铺巾，局麻后用毛囊提取专用设备逐一提取优势供区的毛囊单位，用毛发分离镊及特种刀片修饰单株毛囊单位，毛发放大镜检查后置低温保护，需要移植毛发的部位消毒铺巾，受取区作局麻浸润后，将前述之移植物尽量按受区原有毛发的生长排列方向及位置逐一植于受区。</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20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66</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410000014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中药外敷治疗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根据患者疾病，中医辨证施治后，选定外用方剂，调配后外敷于患处。主要用于颈椎病、腰椎病、肩周炎、关节炎、闭合型骨折、软组织损伤、乳痈、痛风、蜂窝组织炎。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药物</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面积每次不低于10cm×10cm，每周不超过3次。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9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67</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410000015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中医熏洗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服务产出:由医务人员选用制备好的药卷、药香或其他材料，点燃后直接用烟熏烤或蒸汽的形式，作用在患者身体某特定部位，以发挥疏通经络、促进药物吸收等各类作用。价格构成:所定价格涵盖局部清洁，药物调配，处理用物所需的人力资源和基本物质资源消耗，含设备投入及维护成本。</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每日限收费两次；0-6周岁儿童加收20%。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68</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410000015-1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中医熏洗（0-6周岁儿童加收）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1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69</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420000013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中医定向透药疗法</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含仪器使用</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药物</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部位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1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70</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420000014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外固定架拆除术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含器械使用</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96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71</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430000029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蝶腭神经针刺</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选择鼻炎针，沿颧骨弓下缘与冠突之间的缝隙，准确定位并针刺翼腭窝深部的蝶腭神经节，调节人体交感神经和副交感神经的平衡。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适用于7岁以上的过敏性鼻炎、萎缩性鼻炎和鼻窦炎等慢性鼻炎患者。</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20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72</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440000001-5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灸法（热敏灸治疗加收）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热敏灸治疗需要1医1护，时间不低于45分钟，不与其他灸法重复使用，加收80元。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73</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450000012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脊柱小关节紊乱推拿治疗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含手法理筋治疗和手法调整关节</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部位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颈椎、胸椎、腰椎分别计价；腰椎加收8元</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74</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450000012-1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脊柱小关节紊乱推拿治疗（腰椎加收）</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部位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75</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450000012-2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脊柱小关节紊乱推拿治疗(颈椎)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部位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76</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450000012-3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脊柱小关节紊乱推拿治疗(胸椎)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部位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31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77</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450000013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小儿斜颈推拿治疗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含手法理筋治疗和手法调整关节</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78</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450000014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环枢关节半脱位推拿治疗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含手法理筋治疗和手法调整关节</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19</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9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79</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470000017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内热针经皮骨骼肌松解术</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通过内热针治疗从皮下筋膜到深层骨膜致痛的无菌性炎症，松解变性痉挛肌肉组织。</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每部位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widowControl w:val="true"/>
              <w:suppressLineNumbers w:val="false"/>
              <w:pBdr/>
              <w:spacing/>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部位包括头部、颈部、背部、腰部、臀部、四肢大关节，同一部位间隔5至7天才可重复治疗收费。不与其他针刺、小针刀同时治疗。</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354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324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294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265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16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80</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470000018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拨针疗法</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消毒，铺巾，局部麻醉，破皮，用拨针刺入到达浅筋膜层，作局部松解。主要适用于筋膜炎、颈椎病、腰椎病、肩周炎。</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pageBreakBefore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每个部位</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每个部位治疗次数不超过三次，治疗间隔时间不少于10天。每次计费不超过两个部位，超过两个部位按两个部位计费。</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102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92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84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72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81</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EBBXW001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CT输尿管CTU增强扫描</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包括CT全腹平扫及动脉期及静脉期增强，延迟期薄层增强，三维图像后处理，对比剂及针筒等。</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pageBreakBefore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pageBreakBefore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608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557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507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456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82</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FJE01701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无创舱内碳氧血红蛋白检测</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舱内治疗过程中用无创碳氧血红蛋白含量检测仪检测碳氧血红蛋白。</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pageBreakBefore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pageBreakBefore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71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64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58</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480"/>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83</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FJE05701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无创舱内碳氧血红蛋白连续监测</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在舱内治疗过程中用无创碳氧血红蛋白含量检测仪连续监测碳氧血红蛋白含量。</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pageBreakBefore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pageBreakBefore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156</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142</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130</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117</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r>
        <w:trPr>
          <w:trHeight w:val="675"/>
        </w:trPr>
        <w:tc>
          <w:tcPr>
            <w:tcBorders/>
            <w:tcW w:w="448" w:type="dxa"/>
            <w:vAlign w:val="center"/>
            <w:textDirection w:val="lrTb"/>
            <w:noWrap w:val="false"/>
          </w:tcPr>
          <w:p>
            <w:pPr>
              <w:pStyle w:val="660"/>
              <w:keepNext w:val="false"/>
              <w:keepLines w:val="false"/>
              <w:widowControl w:val="true"/>
              <w:suppressLineNumbers w:val="false"/>
              <w:pBdr/>
              <w:spacing/>
              <w:ind/>
              <w:jc w:val="center"/>
              <w:rPr>
                <w:rFonts w:ascii="Times New Roman" w:hAnsi="Times New Roman" w:eastAsia="宋体" w:cs="Times New Roman"/>
                <w:i w:val="0"/>
                <w:color w:val="000000"/>
                <w:sz w:val="18"/>
                <w:szCs w:val="18"/>
                <w:u w:val="none"/>
              </w:rPr>
            </w:pPr>
            <w:r>
              <w:rPr>
                <w:rFonts w:ascii="Times New Roman" w:hAnsi="Times New Roman" w:eastAsia="宋体" w:cs="Times New Roman"/>
                <w:i w:val="0"/>
                <w:color w:val="000000"/>
                <w:sz w:val="18"/>
                <w:szCs w:val="18"/>
                <w:u w:val="none"/>
                <w:lang w:val="en-US" w:eastAsia="zh-CN" w:bidi="ar"/>
              </w:rPr>
              <w:t xml:space="preserve">84</w:t>
            </w:r>
            <w:r>
              <w:rPr>
                <w:rFonts w:ascii="Times New Roman" w:hAnsi="Times New Roman" w:eastAsia="宋体" w:cs="Times New Roman"/>
                <w:i w:val="0"/>
                <w:color w:val="000000"/>
                <w:sz w:val="18"/>
                <w:szCs w:val="18"/>
                <w:u w:val="none"/>
              </w:rPr>
            </w:r>
            <w:r>
              <w:rPr>
                <w:rFonts w:ascii="Times New Roman" w:hAnsi="Times New Roman" w:eastAsia="宋体" w:cs="Times New Roman"/>
                <w:i w:val="0"/>
                <w:color w:val="000000"/>
                <w:sz w:val="18"/>
                <w:szCs w:val="18"/>
                <w:u w:val="none"/>
              </w:rPr>
            </w:r>
          </w:p>
        </w:tc>
        <w:tc>
          <w:tcPr>
            <w:tcBorders/>
            <w:tcW w:w="130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ACBP0001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54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麻精药品口服动态评估</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315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限在安宁疗护专科使用。对患者进行麻精药物使用前评估，宣传教育，并签订药物使用知情同意书，指定用药方案。用药期间，医护人员利用安宁疗护病房疼痛整体评估量表、安宁疗护多途径(口服)疗效和副作用评估量表，对患者进行疼痛评估和药物疗效以及不良反应的监测，并根据病情进行药物调整。</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485" w:type="dxa"/>
            <w:vAlign w:val="center"/>
            <w:textDirection w:val="lrTb"/>
            <w:noWrap w:val="false"/>
          </w:tcPr>
          <w:p>
            <w:pPr>
              <w:pStyle w:val="660"/>
              <w:keepNext w:val="false"/>
              <w:keepLines w:val="false"/>
              <w:pageBreakBefore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pageBreakBefore w:val="false"/>
              <w:widowControl w:val="true"/>
              <w:suppressLineNumbers w:val="false"/>
              <w:pBdr/>
              <w:spacing w:line="300" w:lineRule="exact"/>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日</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1710" w:type="dxa"/>
            <w:vAlign w:val="center"/>
            <w:textDirection w:val="lrTb"/>
            <w:noWrap w:val="false"/>
          </w:tcPr>
          <w:p>
            <w:pPr>
              <w:pStyle w:val="660"/>
              <w:keepNext w:val="false"/>
              <w:keepLines w:val="false"/>
              <w:pageBreakBefore w:val="false"/>
              <w:widowControl w:val="true"/>
              <w:suppressLineNumbers w:val="false"/>
              <w:pBdr/>
              <w:spacing w:line="300" w:lineRule="exact"/>
              <w:ind/>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每天限一次</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15</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25"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14</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10"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13</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c>
          <w:tcPr>
            <w:tcBorders/>
            <w:tcW w:w="803" w:type="dxa"/>
            <w:vAlign w:val="center"/>
            <w:textDirection w:val="lrTb"/>
            <w:noWrap w:val="false"/>
          </w:tcPr>
          <w:p>
            <w:pPr>
              <w:pStyle w:val="660"/>
              <w:keepNext w:val="false"/>
              <w:keepLines w:val="false"/>
              <w:widowControl w:val="true"/>
              <w:suppressLineNumbers w:val="false"/>
              <w:pBdr/>
              <w:spacing/>
              <w:ind/>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bidi="ar"/>
              </w:rPr>
              <w:t xml:space="preserve">11</w:t>
            </w:r>
            <w:r>
              <w:rPr>
                <w:rFonts w:hint="eastAsia" w:ascii="宋体" w:hAnsi="宋体" w:eastAsia="宋体" w:cs="宋体"/>
                <w:i w:val="0"/>
                <w:color w:val="000000"/>
                <w:sz w:val="18"/>
                <w:szCs w:val="18"/>
                <w:u w:val="none"/>
              </w:rPr>
            </w:r>
            <w:r>
              <w:rPr>
                <w:rFonts w:hint="eastAsia" w:ascii="宋体" w:hAnsi="宋体" w:eastAsia="宋体" w:cs="宋体"/>
                <w:i w:val="0"/>
                <w:color w:val="000000"/>
                <w:sz w:val="18"/>
                <w:szCs w:val="18"/>
                <w:u w:val="none"/>
              </w:rPr>
            </w:r>
          </w:p>
        </w:tc>
      </w:tr>
    </w:tbl>
    <w:sectPr>
      <w:headerReference w:type="default" r:id="rId8"/>
      <w:footerReference w:type="default" r:id="rId9"/>
      <w:footnotePr/>
      <w:endnotePr/>
      <w:type w:val="nextPage"/>
      <w:pgSz w:h="11850" w:orient="portrait" w:w="16840"/>
      <w:pgMar w:top="1587" w:right="2098" w:bottom="1474" w:left="1984" w:header="851" w:footer="1395"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书宋简体">
    <w:panose1 w:val="020B0604020202020204"/>
  </w:font>
  <w:font w:name="方正仿宋_GBK">
    <w:panose1 w:val="03000509000000000000"/>
  </w:font>
  <w:font w:name="方正小标宋_GBK">
    <w:panose1 w:val="03000509000000000000"/>
  </w:font>
  <w:font w:name="Calibri Light">
    <w:panose1 w:val="020F0302020204030204"/>
  </w:font>
  <w:font w:name="仿宋">
    <w:panose1 w:val="02010609060101010101"/>
  </w:font>
  <w:font w:name="仿宋_GB2312">
    <w:panose1 w:val="02010609030101010101"/>
  </w:font>
  <w:font w:name="Tahoma">
    <w:panose1 w:val="020B0604030504040204"/>
  </w:font>
  <w:font w:name="黑体">
    <w:panose1 w:val="02010609060101010101"/>
  </w:font>
  <w:font w:name="微软雅黑">
    <w:panose1 w:val="020B0503020204020204"/>
  </w:font>
  <w:font w:name="Arial">
    <w:panose1 w:val="020B0604020202020204"/>
  </w:font>
  <w:font w:name="Calibri">
    <w:panose1 w:val="020F0502020204030204"/>
  </w:font>
  <w:font w:name="等线">
    <w:panose1 w:val="020B0604020202020204"/>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4"/>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_x0000_s3103"/>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664"/>
                            <w:keepNext w:val="false"/>
                            <w:keepLines w:val="false"/>
                            <w:pageBreakBefore w:val="false"/>
                            <w:widowControl w:val="false"/>
                            <w:pBdr/>
                            <w:tabs>
                              <w:tab w:val="center" w:leader="none" w:pos="4153"/>
                              <w:tab w:val="right" w:leader="none" w:pos="8306"/>
                            </w:tabs>
                            <w:spacing/>
                            <w:ind w:right="420" w:left="420"/>
                            <w:rPr>
                              <w:rFonts w:hint="eastAsia" w:ascii="Times New Roman" w:hAnsi="Times New Roman" w:eastAsia="宋体" w:cs="宋体"/>
                              <w:sz w:val="28"/>
                              <w:szCs w:val="28"/>
                              <w:lang w:eastAsia="zh-CN"/>
                            </w:rPr>
                          </w:pPr>
                          <w:r>
                            <w:rPr>
                              <w:rFonts w:hint="eastAsia" w:ascii="Times New Roman" w:hAnsi="Times New Roman" w:eastAsia="宋体" w:cs="宋体"/>
                              <w:sz w:val="28"/>
                              <w:szCs w:val="28"/>
                              <w:lang w:eastAsia="zh-CN"/>
                            </w:rPr>
                          </w:r>
                          <w:r>
                            <w:rPr>
                              <w:rFonts w:hint="eastAsia" w:ascii="Times New Roman" w:hAnsi="Times New Roman" w:eastAsia="宋体" w:cs="宋体"/>
                              <w:sz w:val="28"/>
                              <w:szCs w:val="28"/>
                              <w:lang w:eastAsia="zh-CN"/>
                            </w:rPr>
                          </w:r>
                        </w:p>
                        <w:p>
                          <w:pPr>
                            <w:pStyle w:val="660"/>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left;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64"/>
                      <w:keepNext w:val="false"/>
                      <w:keepLines w:val="false"/>
                      <w:pageBreakBefore w:val="false"/>
                      <w:widowControl w:val="false"/>
                      <w:pBdr/>
                      <w:tabs>
                        <w:tab w:val="center" w:leader="none" w:pos="4153"/>
                        <w:tab w:val="right" w:leader="none" w:pos="8306"/>
                      </w:tabs>
                      <w:spacing/>
                      <w:ind w:right="420" w:left="420"/>
                      <w:rPr>
                        <w:rFonts w:hint="eastAsia" w:ascii="Times New Roman" w:hAnsi="Times New Roman" w:eastAsia="宋体" w:cs="宋体"/>
                        <w:sz w:val="28"/>
                        <w:szCs w:val="28"/>
                        <w:lang w:eastAsia="zh-CN"/>
                      </w:rPr>
                    </w:pPr>
                    <w:r>
                      <w:rPr>
                        <w:rFonts w:hint="eastAsia" w:ascii="Times New Roman" w:hAnsi="Times New Roman" w:eastAsia="宋体" w:cs="宋体"/>
                        <w:sz w:val="28"/>
                        <w:szCs w:val="28"/>
                        <w:lang w:eastAsia="zh-CN"/>
                      </w:rPr>
                    </w:r>
                    <w:r>
                      <w:rPr>
                        <w:rFonts w:hint="eastAsia" w:ascii="Times New Roman" w:hAnsi="Times New Roman" w:eastAsia="宋体" w:cs="宋体"/>
                        <w:sz w:val="28"/>
                        <w:szCs w:val="28"/>
                        <w:lang w:eastAsia="zh-CN"/>
                      </w:rPr>
                    </w:r>
                  </w:p>
                  <w:p>
                    <w:pPr>
                      <w:pStyle w:val="660"/>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2"/>
      <w:pBdr>
        <w:bottom w:val="none" w:color="000000" w:sz="0" w:space="1"/>
      </w:pBdr>
      <w:tabs>
        <w:tab w:val="center" w:leader="none" w:pos="4153"/>
        <w:tab w:val="right" w:leader="none" w:pos="8306"/>
      </w:tabs>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0"/>
    <w:next w:val="66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60"/>
    <w:next w:val="66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60"/>
    <w:next w:val="66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60"/>
    <w:next w:val="66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60"/>
    <w:next w:val="66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60"/>
    <w:next w:val="66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60"/>
    <w:next w:val="66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60"/>
    <w:next w:val="66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60"/>
    <w:next w:val="66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4">
    <w:name w:val="Title"/>
    <w:basedOn w:val="660"/>
    <w:next w:val="660"/>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60"/>
    <w:next w:val="660"/>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60"/>
    <w:next w:val="66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60"/>
    <w:next w:val="66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60"/>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60"/>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60"/>
    <w:next w:val="66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6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6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60"/>
    <w:next w:val="660"/>
    <w:uiPriority w:val="39"/>
    <w:unhideWhenUsed/>
    <w:pPr>
      <w:pBdr/>
      <w:spacing w:after="57"/>
      <w:ind w:right="0" w:firstLine="0" w:left="0"/>
    </w:pPr>
  </w:style>
  <w:style w:type="paragraph" w:styleId="182">
    <w:name w:val="toc 2"/>
    <w:basedOn w:val="660"/>
    <w:next w:val="660"/>
    <w:uiPriority w:val="39"/>
    <w:unhideWhenUsed/>
    <w:pPr>
      <w:pBdr/>
      <w:spacing w:after="57"/>
      <w:ind w:right="0" w:firstLine="0" w:left="283"/>
    </w:pPr>
  </w:style>
  <w:style w:type="paragraph" w:styleId="183">
    <w:name w:val="toc 3"/>
    <w:basedOn w:val="660"/>
    <w:next w:val="660"/>
    <w:uiPriority w:val="39"/>
    <w:unhideWhenUsed/>
    <w:pPr>
      <w:pBdr/>
      <w:spacing w:after="57"/>
      <w:ind w:right="0" w:firstLine="0" w:left="567"/>
    </w:pPr>
  </w:style>
  <w:style w:type="paragraph" w:styleId="184">
    <w:name w:val="toc 4"/>
    <w:basedOn w:val="660"/>
    <w:next w:val="660"/>
    <w:uiPriority w:val="39"/>
    <w:unhideWhenUsed/>
    <w:pPr>
      <w:pBdr/>
      <w:spacing w:after="57"/>
      <w:ind w:right="0" w:firstLine="0" w:left="850"/>
    </w:pPr>
  </w:style>
  <w:style w:type="paragraph" w:styleId="185">
    <w:name w:val="toc 5"/>
    <w:basedOn w:val="660"/>
    <w:next w:val="660"/>
    <w:uiPriority w:val="39"/>
    <w:unhideWhenUsed/>
    <w:pPr>
      <w:pBdr/>
      <w:spacing w:after="57"/>
      <w:ind w:right="0" w:firstLine="0" w:left="1134"/>
    </w:pPr>
  </w:style>
  <w:style w:type="paragraph" w:styleId="186">
    <w:name w:val="toc 6"/>
    <w:basedOn w:val="660"/>
    <w:next w:val="660"/>
    <w:uiPriority w:val="39"/>
    <w:unhideWhenUsed/>
    <w:pPr>
      <w:pBdr/>
      <w:spacing w:after="57"/>
      <w:ind w:right="0" w:firstLine="0" w:left="1417"/>
    </w:pPr>
  </w:style>
  <w:style w:type="paragraph" w:styleId="187">
    <w:name w:val="toc 7"/>
    <w:basedOn w:val="660"/>
    <w:next w:val="660"/>
    <w:uiPriority w:val="39"/>
    <w:unhideWhenUsed/>
    <w:pPr>
      <w:pBdr/>
      <w:spacing w:after="57"/>
      <w:ind w:right="0" w:firstLine="0" w:left="1701"/>
    </w:pPr>
  </w:style>
  <w:style w:type="paragraph" w:styleId="188">
    <w:name w:val="toc 8"/>
    <w:basedOn w:val="660"/>
    <w:next w:val="660"/>
    <w:uiPriority w:val="39"/>
    <w:unhideWhenUsed/>
    <w:pPr>
      <w:pBdr/>
      <w:spacing w:after="57"/>
      <w:ind w:right="0" w:firstLine="0" w:left="1984"/>
    </w:pPr>
  </w:style>
  <w:style w:type="paragraph" w:styleId="189">
    <w:name w:val="toc 9"/>
    <w:basedOn w:val="660"/>
    <w:next w:val="660"/>
    <w:uiPriority w:val="39"/>
    <w:unhideWhenUsed/>
    <w:pPr>
      <w:pBdr/>
      <w:spacing w:after="57"/>
      <w:ind w:right="0" w:firstLine="0" w:left="2268"/>
    </w:pPr>
  </w:style>
  <w:style w:type="paragraph" w:styleId="191">
    <w:name w:val="table of figures"/>
    <w:basedOn w:val="660"/>
    <w:next w:val="660"/>
    <w:uiPriority w:val="99"/>
    <w:unhideWhenUsed/>
    <w:pPr>
      <w:pBdr/>
      <w:spacing w:after="0" w:afterAutospacing="0"/>
      <w:ind/>
    </w:pPr>
  </w:style>
  <w:style w:type="paragraph" w:styleId="660" w:default="1">
    <w:name w:val="Normal"/>
    <w:next w:val="664"/>
    <w:link w:val="660"/>
    <w:qFormat/>
    <w:pPr>
      <w:widowControl w:val="false"/>
      <w:pBdr/>
      <w:spacing/>
      <w:ind/>
      <w:jc w:val="both"/>
    </w:pPr>
    <w:rPr>
      <w:sz w:val="21"/>
      <w:szCs w:val="24"/>
      <w:lang w:val="en-US" w:eastAsia="zh-CN" w:bidi="ar-SA"/>
    </w:rPr>
  </w:style>
  <w:style w:type="paragraph" w:styleId="661">
    <w:name w:val="标题 1"/>
    <w:basedOn w:val="660"/>
    <w:next w:val="660"/>
    <w:link w:val="666"/>
    <w:qFormat/>
    <w:pPr>
      <w:keepNext w:val="true"/>
      <w:keepLines w:val="true"/>
      <w:pBdr/>
      <w:spacing w:after="330" w:before="340" w:line="578" w:lineRule="auto"/>
      <w:ind/>
      <w:jc w:val="center"/>
      <w:outlineLvl w:val="0"/>
    </w:pPr>
    <w:rPr>
      <w:rFonts w:eastAsia="黑体"/>
      <w:bCs/>
      <w:sz w:val="32"/>
      <w:szCs w:val="44"/>
    </w:rPr>
  </w:style>
  <w:style w:type="character" w:styleId="662">
    <w:name w:val="默认段落字体"/>
    <w:next w:val="662"/>
    <w:link w:val="679"/>
    <w:semiHidden/>
    <w:pPr>
      <w:pBdr/>
      <w:spacing/>
      <w:ind/>
    </w:pPr>
  </w:style>
  <w:style w:type="table" w:styleId="663">
    <w:name w:val="普通表格"/>
    <w:next w:val="663"/>
    <w:link w:val="660"/>
    <w:semiHidden/>
    <w:pPr>
      <w:keepNext w:val="false"/>
      <w:keepLines w:val="false"/>
      <w:widowControl w:val="true"/>
      <w:suppressLineNumbers w:val="false"/>
      <w:pBdr/>
      <w:spacing w:after="0" w:afterAutospacing="0" w:before="0" w:beforeAutospacing="0"/>
      <w:ind w:right="0" w:left="0"/>
    </w:pPr>
    <w:rPr>
      <w:rFonts w:ascii="Calibri" w:hAnsi="Calibri" w:cs="Times New Roman"/>
      <w:sz w:val="20"/>
      <w:szCs w:val="20"/>
    </w:r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64">
    <w:name w:val="页脚"/>
    <w:basedOn w:val="660"/>
    <w:next w:val="660"/>
    <w:link w:val="665"/>
    <w:uiPriority w:val="99"/>
    <w:pPr>
      <w:pBdr/>
      <w:tabs>
        <w:tab w:val="center" w:leader="none" w:pos="4153"/>
        <w:tab w:val="right" w:leader="none" w:pos="8306"/>
      </w:tabs>
      <w:spacing/>
      <w:ind/>
      <w:jc w:val="left"/>
    </w:pPr>
    <w:rPr>
      <w:sz w:val="18"/>
      <w:szCs w:val="18"/>
    </w:rPr>
  </w:style>
  <w:style w:type="character" w:styleId="665">
    <w:name w:val="页脚 字符"/>
    <w:next w:val="665"/>
    <w:link w:val="664"/>
    <w:uiPriority w:val="99"/>
    <w:pPr>
      <w:pBdr/>
      <w:spacing/>
      <w:ind/>
    </w:pPr>
    <w:rPr>
      <w:rFonts w:eastAsia="宋体"/>
      <w:sz w:val="18"/>
      <w:szCs w:val="18"/>
      <w:lang w:val="en-US" w:eastAsia="zh-CN" w:bidi="ar-SA"/>
    </w:rPr>
  </w:style>
  <w:style w:type="character" w:styleId="666">
    <w:name w:val="标题 1 字符"/>
    <w:next w:val="666"/>
    <w:link w:val="661"/>
    <w:pPr>
      <w:pBdr/>
      <w:spacing/>
      <w:ind/>
    </w:pPr>
    <w:rPr>
      <w:rFonts w:eastAsia="黑体"/>
      <w:bCs/>
      <w:sz w:val="32"/>
      <w:szCs w:val="44"/>
      <w:lang w:val="en-US" w:eastAsia="zh-CN" w:bidi="ar-SA"/>
    </w:rPr>
  </w:style>
  <w:style w:type="paragraph" w:styleId="667">
    <w:name w:val="索引 8"/>
    <w:basedOn w:val="660"/>
    <w:next w:val="660"/>
    <w:link w:val="660"/>
    <w:qFormat/>
    <w:pPr>
      <w:pBdr/>
      <w:spacing/>
      <w:ind w:left="2940"/>
    </w:pPr>
    <w:rPr>
      <w:rFonts w:ascii="Calibri" w:hAnsi="Calibri" w:eastAsia="宋体" w:cs="Times New Roman"/>
      <w:szCs w:val="24"/>
    </w:rPr>
  </w:style>
  <w:style w:type="paragraph" w:styleId="668">
    <w:name w:val="正文文本"/>
    <w:basedOn w:val="660"/>
    <w:next w:val="667"/>
    <w:link w:val="660"/>
    <w:pPr>
      <w:pBdr/>
      <w:spacing w:after="120"/>
      <w:ind/>
    </w:pPr>
  </w:style>
  <w:style w:type="paragraph" w:styleId="669">
    <w:name w:val="正文文本缩进"/>
    <w:basedOn w:val="660"/>
    <w:next w:val="669"/>
    <w:link w:val="660"/>
    <w:qFormat/>
    <w:pPr>
      <w:pBdr/>
      <w:spacing w:after="120"/>
      <w:ind w:left="420"/>
    </w:pPr>
  </w:style>
  <w:style w:type="paragraph" w:styleId="670">
    <w:name w:val="纯文本"/>
    <w:basedOn w:val="660"/>
    <w:next w:val="670"/>
    <w:link w:val="660"/>
    <w:pPr>
      <w:pBdr/>
      <w:spacing/>
      <w:ind/>
    </w:pPr>
    <w:rPr>
      <w:rFonts w:ascii="宋体" w:hAnsi="Courier New" w:cs="Courier New"/>
      <w:szCs w:val="21"/>
    </w:rPr>
  </w:style>
  <w:style w:type="paragraph" w:styleId="671">
    <w:name w:val="批注框文本"/>
    <w:basedOn w:val="660"/>
    <w:next w:val="671"/>
    <w:link w:val="660"/>
    <w:semiHidden/>
    <w:pPr>
      <w:pBdr/>
      <w:spacing/>
      <w:ind/>
    </w:pPr>
    <w:rPr>
      <w:sz w:val="18"/>
      <w:szCs w:val="18"/>
    </w:rPr>
  </w:style>
  <w:style w:type="paragraph" w:styleId="672">
    <w:name w:val="页眉"/>
    <w:basedOn w:val="660"/>
    <w:next w:val="672"/>
    <w:link w:val="673"/>
    <w:uiPriority w:val="99"/>
    <w:pPr>
      <w:pBdr>
        <w:bottom w:val="single" w:color="000000" w:sz="6" w:space="1"/>
      </w:pBdr>
      <w:tabs>
        <w:tab w:val="center" w:leader="none" w:pos="4153"/>
        <w:tab w:val="right" w:leader="none" w:pos="8306"/>
      </w:tabs>
      <w:spacing/>
      <w:ind/>
      <w:jc w:val="center"/>
    </w:pPr>
    <w:rPr>
      <w:sz w:val="18"/>
      <w:szCs w:val="18"/>
    </w:rPr>
  </w:style>
  <w:style w:type="character" w:styleId="673">
    <w:name w:val="页眉 字符"/>
    <w:next w:val="673"/>
    <w:link w:val="672"/>
    <w:uiPriority w:val="99"/>
    <w:pPr>
      <w:pBdr/>
      <w:spacing/>
      <w:ind/>
    </w:pPr>
    <w:rPr>
      <w:sz w:val="18"/>
      <w:szCs w:val="18"/>
    </w:rPr>
  </w:style>
  <w:style w:type="paragraph" w:styleId="674">
    <w:name w:val="目录 1"/>
    <w:basedOn w:val="660"/>
    <w:next w:val="660"/>
    <w:link w:val="660"/>
    <w:semiHidden/>
    <w:pPr>
      <w:widowControl w:val="true"/>
      <w:pBdr/>
      <w:spacing w:after="100" w:line="276" w:lineRule="auto"/>
      <w:ind/>
      <w:jc w:val="left"/>
    </w:pPr>
    <w:rPr>
      <w:rFonts w:ascii="Calibri" w:hAnsi="Calibri"/>
      <w:sz w:val="22"/>
      <w:szCs w:val="22"/>
    </w:rPr>
  </w:style>
  <w:style w:type="paragraph" w:styleId="675">
    <w:name w:val="脚注文本"/>
    <w:basedOn w:val="660"/>
    <w:next w:val="676"/>
    <w:link w:val="660"/>
    <w:qFormat/>
    <w:pPr>
      <w:pBdr/>
      <w:spacing/>
      <w:ind/>
      <w:jc w:val="left"/>
    </w:pPr>
    <w:rPr>
      <w:sz w:val="18"/>
    </w:rPr>
  </w:style>
  <w:style w:type="paragraph" w:styleId="676">
    <w:name w:val="正文首行缩进 2"/>
    <w:basedOn w:val="669"/>
    <w:next w:val="676"/>
    <w:link w:val="660"/>
    <w:qFormat/>
    <w:pPr>
      <w:pBdr/>
      <w:spacing/>
      <w:ind w:firstLine="420"/>
    </w:pPr>
  </w:style>
  <w:style w:type="paragraph" w:styleId="677">
    <w:name w:val="普通(网站)"/>
    <w:basedOn w:val="660"/>
    <w:next w:val="677"/>
    <w:link w:val="660"/>
    <w:pPr>
      <w:widowControl w:val="true"/>
      <w:pBdr/>
      <w:spacing w:after="100" w:afterAutospacing="1" w:before="100" w:beforeAutospacing="1"/>
      <w:ind/>
      <w:jc w:val="left"/>
    </w:pPr>
    <w:rPr>
      <w:rFonts w:ascii="宋体" w:hAnsi="宋体" w:cs="宋体"/>
      <w:color w:val="000000"/>
      <w:sz w:val="24"/>
    </w:rPr>
  </w:style>
  <w:style w:type="table" w:styleId="678">
    <w:name w:val="网格型"/>
    <w:basedOn w:val="663"/>
    <w:next w:val="678"/>
    <w:link w:val="660"/>
    <w:pPr>
      <w:widowControl w:val="false"/>
      <w:pBdr/>
      <w:spacing/>
      <w:ind/>
      <w:jc w:val="both"/>
    </w:pPr>
    <w:rPr>
      <w:rFonts w:eastAsia="仿宋_GB2312"/>
    </w:r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79">
    <w:name w:val="_Style 7"/>
    <w:basedOn w:val="660"/>
    <w:next w:val="679"/>
    <w:link w:val="662"/>
    <w:pPr>
      <w:pBdr/>
      <w:spacing/>
      <w:ind/>
    </w:pPr>
    <w:rPr>
      <w:szCs w:val="20"/>
    </w:rPr>
  </w:style>
  <w:style w:type="character" w:styleId="680">
    <w:name w:val="页码"/>
    <w:basedOn w:val="662"/>
    <w:next w:val="680"/>
    <w:link w:val="660"/>
    <w:uiPriority w:val="99"/>
    <w:pPr>
      <w:pBdr/>
      <w:spacing/>
      <w:ind/>
    </w:pPr>
  </w:style>
  <w:style w:type="character" w:styleId="681">
    <w:name w:val="强调"/>
    <w:next w:val="681"/>
    <w:link w:val="660"/>
    <w:uiPriority w:val="20"/>
    <w:qFormat/>
    <w:pPr>
      <w:pBdr/>
      <w:spacing/>
      <w:ind/>
    </w:pPr>
    <w:rPr>
      <w:i/>
      <w:iCs/>
    </w:rPr>
  </w:style>
  <w:style w:type="character" w:styleId="682">
    <w:name w:val="超链接"/>
    <w:next w:val="682"/>
    <w:link w:val="660"/>
    <w:pPr>
      <w:pBdr/>
      <w:spacing/>
      <w:ind/>
    </w:pPr>
    <w:rPr>
      <w:rFonts w:cs="Times New Roman"/>
      <w:color w:val="0563c1"/>
      <w:u w:val="single"/>
    </w:rPr>
  </w:style>
  <w:style w:type="character" w:styleId="683">
    <w:name w:val="font21"/>
    <w:basedOn w:val="662"/>
    <w:next w:val="683"/>
    <w:link w:val="660"/>
    <w:qFormat/>
    <w:pPr>
      <w:pBdr/>
      <w:spacing/>
      <w:ind/>
    </w:pPr>
    <w:rPr>
      <w:rFonts w:hint="eastAsia" w:ascii="宋体" w:hAnsi="宋体" w:eastAsia="宋体" w:cs="宋体"/>
      <w:color w:val="000000"/>
      <w:sz w:val="18"/>
      <w:szCs w:val="18"/>
      <w:u w:val="none"/>
    </w:rPr>
  </w:style>
  <w:style w:type="character" w:styleId="684">
    <w:name w:val="font61"/>
    <w:basedOn w:val="662"/>
    <w:next w:val="684"/>
    <w:link w:val="660"/>
    <w:qFormat/>
    <w:pPr>
      <w:pBdr/>
      <w:spacing/>
      <w:ind/>
    </w:pPr>
    <w:rPr>
      <w:rFonts w:hint="eastAsia" w:ascii="宋体" w:hAnsi="宋体" w:eastAsia="宋体" w:cs="宋体"/>
      <w:b/>
      <w:color w:val="000000"/>
      <w:sz w:val="18"/>
      <w:szCs w:val="18"/>
      <w:u w:val="none"/>
    </w:rPr>
  </w:style>
  <w:style w:type="character" w:styleId="685">
    <w:name w:val="正文格式 Char"/>
    <w:next w:val="685"/>
    <w:link w:val="686"/>
    <w:qFormat/>
    <w:pPr>
      <w:pBdr/>
      <w:spacing/>
      <w:ind/>
    </w:pPr>
    <w:rPr>
      <w:rFonts w:ascii="仿宋_GB2312" w:hAnsi="仿宋" w:eastAsia="仿宋_GB2312"/>
      <w:sz w:val="32"/>
      <w:szCs w:val="32"/>
    </w:rPr>
  </w:style>
  <w:style w:type="paragraph" w:styleId="686">
    <w:name w:val="正文格式"/>
    <w:basedOn w:val="660"/>
    <w:next w:val="686"/>
    <w:link w:val="685"/>
    <w:qFormat/>
    <w:pPr>
      <w:pBdr/>
      <w:spacing w:line="600" w:lineRule="exact"/>
      <w:ind w:firstLine="640"/>
    </w:pPr>
    <w:rPr>
      <w:rFonts w:ascii="仿宋_GB2312" w:hAnsi="仿宋" w:eastAsia="仿宋_GB2312"/>
      <w:sz w:val="32"/>
      <w:szCs w:val="32"/>
    </w:rPr>
  </w:style>
  <w:style w:type="paragraph" w:styleId="687">
    <w:name w:val="CM1"/>
    <w:basedOn w:val="688"/>
    <w:next w:val="688"/>
    <w:link w:val="660"/>
    <w:pPr>
      <w:pBdr/>
      <w:spacing w:line="623" w:lineRule="atLeast"/>
      <w:ind/>
    </w:pPr>
    <w:rPr>
      <w:rFonts w:cs="Times New Roman"/>
      <w:color w:val="000000"/>
    </w:rPr>
  </w:style>
  <w:style w:type="paragraph" w:styleId="688">
    <w:name w:val="Default"/>
    <w:next w:val="688"/>
    <w:link w:val="660"/>
    <w:pPr>
      <w:widowControl w:val="false"/>
      <w:pBdr/>
      <w:spacing/>
      <w:ind/>
    </w:pPr>
    <w:rPr>
      <w:rFonts w:ascii="仿宋_GB2312" w:eastAsia="仿宋_GB2312" w:cs="仿宋_GB2312"/>
      <w:color w:val="000000"/>
      <w:sz w:val="24"/>
      <w:szCs w:val="24"/>
      <w:lang w:val="en-US" w:eastAsia="zh-CN" w:bidi="ar-SA"/>
    </w:rPr>
  </w:style>
  <w:style w:type="paragraph" w:styleId="689">
    <w:name w:val="CM2"/>
    <w:basedOn w:val="688"/>
    <w:next w:val="688"/>
    <w:link w:val="660"/>
    <w:pPr>
      <w:pBdr/>
      <w:spacing w:line="623" w:lineRule="atLeast"/>
      <w:ind/>
    </w:pPr>
    <w:rPr>
      <w:rFonts w:cs="Times New Roman"/>
      <w:color w:val="000000"/>
    </w:rPr>
  </w:style>
  <w:style w:type="paragraph" w:styleId="690">
    <w:name w:val="No Spacing"/>
    <w:next w:val="690"/>
    <w:link w:val="660"/>
    <w:uiPriority w:val="1"/>
    <w:qFormat/>
    <w:pPr>
      <w:pBdr/>
      <w:spacing w:after="0" w:line="240" w:lineRule="auto"/>
      <w:ind/>
    </w:pPr>
    <w:rPr>
      <w:rFonts w:ascii="Tahoma" w:hAnsi="Tahoma" w:eastAsia="微软雅黑" w:cs="Times New Roman"/>
      <w:sz w:val="22"/>
      <w:szCs w:val="22"/>
      <w:lang w:val="en-US" w:eastAsia="zh-CN" w:bidi="ar-SA"/>
    </w:rPr>
  </w:style>
  <w:style w:type="paragraph" w:styleId="691">
    <w:name w:val="List Paragraph1"/>
    <w:basedOn w:val="660"/>
    <w:next w:val="691"/>
    <w:link w:val="660"/>
    <w:pPr>
      <w:pBdr/>
      <w:spacing/>
      <w:ind w:firstLine="420"/>
    </w:pPr>
    <w:rPr>
      <w:rFonts w:ascii="Calibri" w:hAnsi="Calibri"/>
    </w:rPr>
  </w:style>
  <w:style w:type="paragraph" w:styleId="692">
    <w:name w:val="文明建设宣传"/>
    <w:basedOn w:val="660"/>
    <w:next w:val="692"/>
    <w:link w:val="660"/>
    <w:pPr>
      <w:pBdr/>
      <w:spacing/>
      <w:ind/>
    </w:pPr>
    <w:rPr>
      <w:rFonts w:ascii="黑体" w:hAnsi="宋体" w:eastAsia="黑体"/>
      <w:b/>
      <w:bCs/>
      <w:color w:val="000000"/>
      <w:sz w:val="24"/>
    </w:rPr>
  </w:style>
  <w:style w:type="paragraph" w:styleId="693">
    <w:name w:val="列出段落2"/>
    <w:basedOn w:val="660"/>
    <w:next w:val="693"/>
    <w:link w:val="660"/>
    <w:pPr>
      <w:pBdr/>
      <w:spacing/>
      <w:ind w:firstLine="420"/>
    </w:pPr>
    <w:rPr>
      <w:rFonts w:ascii="Calibri" w:hAnsi="Calibri" w:eastAsia="仿宋_GB2312" w:cs="Calibri"/>
      <w:sz w:val="32"/>
      <w:szCs w:val="32"/>
    </w:rPr>
  </w:style>
  <w:style w:type="paragraph" w:styleId="694">
    <w:name w:val="列出段落3"/>
    <w:basedOn w:val="660"/>
    <w:next w:val="694"/>
    <w:link w:val="660"/>
    <w:pPr>
      <w:pBdr/>
      <w:spacing/>
      <w:ind w:firstLine="420"/>
    </w:pPr>
    <w:rPr>
      <w:rFonts w:ascii="Calibri" w:hAnsi="Calibri" w:cs="Calibri"/>
      <w:szCs w:val="21"/>
    </w:rPr>
  </w:style>
  <w:style w:type="paragraph" w:styleId="695">
    <w:name w:val="_Style 1"/>
    <w:next w:val="695"/>
    <w:link w:val="660"/>
    <w:uiPriority w:val="1"/>
    <w:qFormat/>
    <w:pPr>
      <w:widowControl w:val="false"/>
      <w:pBdr/>
      <w:spacing/>
      <w:ind w:firstLine="200"/>
    </w:pPr>
    <w:rPr>
      <w:rFonts w:ascii="Calibri" w:hAnsi="Calibri" w:eastAsia="宋体" w:cs="Times New Roman"/>
      <w:sz w:val="21"/>
      <w:szCs w:val="22"/>
      <w:lang w:val="en-US" w:eastAsia="zh-CN" w:bidi="ar-SA"/>
    </w:rPr>
  </w:style>
  <w:style w:type="paragraph" w:styleId="696">
    <w:name w:val="List Paragraph"/>
    <w:basedOn w:val="660"/>
    <w:next w:val="696"/>
    <w:link w:val="660"/>
    <w:pPr>
      <w:pBdr/>
      <w:spacing/>
      <w:ind w:firstLine="420"/>
    </w:pPr>
  </w:style>
  <w:style w:type="paragraph" w:styleId="697">
    <w:name w:val="CM3"/>
    <w:basedOn w:val="688"/>
    <w:next w:val="688"/>
    <w:link w:val="660"/>
    <w:pPr>
      <w:pBdr/>
      <w:spacing w:line="623" w:lineRule="atLeast"/>
      <w:ind/>
    </w:pPr>
    <w:rPr>
      <w:rFonts w:cs="Times New Roman"/>
      <w:color w:val="000000"/>
    </w:rPr>
  </w:style>
  <w:style w:type="paragraph" w:styleId="698">
    <w:name w:val="reader-word-layer reader-word-s1-8"/>
    <w:basedOn w:val="660"/>
    <w:next w:val="698"/>
    <w:link w:val="660"/>
    <w:pPr>
      <w:widowControl w:val="true"/>
      <w:pBdr/>
      <w:spacing w:after="100" w:afterAutospacing="1" w:before="100" w:beforeAutospacing="1"/>
      <w:ind/>
      <w:jc w:val="left"/>
    </w:pPr>
    <w:rPr>
      <w:rFonts w:ascii="宋体" w:hAnsi="宋体" w:cs="宋体"/>
      <w:sz w:val="24"/>
    </w:rPr>
  </w:style>
  <w:style w:type="paragraph" w:styleId="699">
    <w:name w:val="CM4"/>
    <w:basedOn w:val="688"/>
    <w:next w:val="688"/>
    <w:link w:val="660"/>
    <w:pPr>
      <w:pBdr/>
      <w:spacing w:line="623" w:lineRule="atLeast"/>
      <w:ind/>
    </w:pPr>
    <w:rPr>
      <w:rFonts w:cs="Times New Roman"/>
      <w:color w:val="000000"/>
    </w:rPr>
  </w:style>
  <w:style w:type="paragraph" w:styleId="700">
    <w:name w:val="Char"/>
    <w:basedOn w:val="660"/>
    <w:next w:val="700"/>
    <w:link w:val="660"/>
    <w:pPr>
      <w:pBdr/>
      <w:spacing/>
      <w:ind/>
    </w:pPr>
    <w:rPr>
      <w:szCs w:val="20"/>
    </w:rPr>
  </w:style>
  <w:style w:type="paragraph" w:styleId="701">
    <w:name w:val="Table Paragraph"/>
    <w:basedOn w:val="660"/>
    <w:next w:val="701"/>
    <w:link w:val="660"/>
    <w:uiPriority w:val="1"/>
    <w:qFormat/>
    <w:pPr>
      <w:pBdr/>
      <w:spacing/>
      <w:ind/>
    </w:pPr>
  </w:style>
  <w:style w:type="paragraph" w:styleId="702">
    <w:name w:val="TOC Heading"/>
    <w:basedOn w:val="661"/>
    <w:next w:val="660"/>
    <w:link w:val="660"/>
    <w:pPr>
      <w:widowControl w:val="true"/>
      <w:pBdr/>
      <w:spacing w:after="0" w:before="480" w:line="276" w:lineRule="auto"/>
      <w:ind/>
      <w:jc w:val="left"/>
      <w:outlineLvl w:val="9"/>
    </w:pPr>
    <w:rPr>
      <w:rFonts w:ascii="Calibri Light" w:hAnsi="Calibri Light" w:eastAsia="宋体"/>
      <w:b/>
      <w:color w:val="2e74b5"/>
      <w:sz w:val="28"/>
      <w:szCs w:val="28"/>
    </w:rPr>
  </w:style>
  <w:style w:type="paragraph" w:styleId="703">
    <w:name w:val="列出段落1"/>
    <w:basedOn w:val="660"/>
    <w:next w:val="703"/>
    <w:link w:val="660"/>
    <w:pPr>
      <w:pBdr/>
      <w:spacing/>
      <w:ind w:firstLine="420"/>
    </w:pPr>
    <w:rPr>
      <w:rFonts w:ascii="Calibri" w:hAnsi="Calibri" w:eastAsia="仿宋_GB2312" w:cs="Calibri"/>
      <w:sz w:val="32"/>
      <w:szCs w:val="32"/>
    </w:rPr>
  </w:style>
  <w:style w:type="character" w:styleId="12840" w:default="1">
    <w:name w:val="Default Paragraph Font"/>
    <w:uiPriority w:val="1"/>
    <w:semiHidden/>
    <w:unhideWhenUsed/>
    <w:pPr>
      <w:pBdr/>
      <w:spacing/>
      <w:ind/>
    </w:pPr>
  </w:style>
  <w:style w:type="numbering" w:styleId="12841" w:default="1">
    <w:name w:val="No List"/>
    <w:uiPriority w:val="99"/>
    <w:semiHidden/>
    <w:unhideWhenUsed/>
    <w:pPr>
      <w:pBdr/>
      <w:spacing/>
      <w:ind/>
    </w:pPr>
  </w:style>
  <w:style w:type="table" w:styleId="1284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绵阳市医疗保险管理局关于做好20</dc:title>
  <dc:creator>DE</dc:creator>
  <cp:lastModifiedBy>匿名</cp:lastModifiedBy>
  <cp:revision>3</cp:revision>
  <dcterms:created xsi:type="dcterms:W3CDTF">2018-06-03T02:54:00Z</dcterms:created>
  <dcterms:modified xsi:type="dcterms:W3CDTF">2024-11-19T03:46:09Z</dcterms:modified>
</cp:coreProperties>
</file>