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88"/>
        <w:pBdr/>
        <w:spacing/>
        <w:ind/>
        <w:rPr>
          <w:rFonts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 xml:space="preserve">附件2</w:t>
      </w:r>
      <w:r>
        <w:rPr>
          <w:rFonts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r>
      <w:r>
        <w:rPr>
          <w:rFonts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r>
    </w:p>
    <w:tbl>
      <w:tblPr>
        <w:tblW w:w="13723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723"/>
      </w:tblGrid>
      <w:tr>
        <w:trPr>
          <w:trHeight w:val="480"/>
        </w:trPr>
        <w:tc>
          <w:tcPr>
            <w:tcBorders/>
            <w:tcW w:w="13723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  <w:lang w:val="en-US" w:eastAsia="zh-CN" w:bidi="ar"/>
              </w:rPr>
              <w:t xml:space="preserve">广安市2024年度第1批修订医疗服务价格项目明细表</w:t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r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r>
          </w:p>
        </w:tc>
      </w:tr>
    </w:tbl>
    <w:p>
      <w:pPr>
        <w:pStyle w:val="660"/>
        <w:keepNext w:val="false"/>
        <w:keepLines w:val="false"/>
        <w:widowControl w:val="true"/>
        <w:suppressLineNumbers w:val="false"/>
        <w:pBdr/>
        <w:spacing/>
        <w:ind/>
        <w:jc w:val="both"/>
        <w:rPr>
          <w:rFonts w:hint="eastAsia" w:ascii="方正仿宋_GBK" w:hAnsi="方正仿宋_GBK" w:eastAsia="方正仿宋_GBK" w:cs="方正仿宋_GBK"/>
          <w:b/>
          <w:i w:val="0"/>
          <w:color w:val="000000"/>
          <w:sz w:val="22"/>
          <w:szCs w:val="2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000000"/>
          <w:sz w:val="22"/>
          <w:szCs w:val="22"/>
          <w:u w:val="none"/>
          <w:lang w:val="en-US" w:eastAsia="zh-CN" w:bidi="ar"/>
        </w:rPr>
      </w:r>
      <w:r>
        <w:rPr>
          <w:rFonts w:hint="eastAsia" w:ascii="方正仿宋_GBK" w:hAnsi="方正仿宋_GBK" w:eastAsia="方正仿宋_GBK" w:cs="方正仿宋_GBK"/>
          <w:b/>
          <w:i w:val="0"/>
          <w:color w:val="000000"/>
          <w:sz w:val="22"/>
          <w:szCs w:val="22"/>
          <w:u w:val="none"/>
          <w:lang w:val="en-US" w:eastAsia="zh-CN" w:bidi="ar"/>
        </w:rPr>
      </w:r>
    </w:p>
    <w:tbl>
      <w:tblPr>
        <w:tblW w:w="13723" w:type="dxa"/>
        <w:tblInd w:w="-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1305"/>
        <w:gridCol w:w="1545"/>
        <w:gridCol w:w="3150"/>
        <w:gridCol w:w="1489"/>
        <w:gridCol w:w="806"/>
        <w:gridCol w:w="1725"/>
        <w:gridCol w:w="810"/>
        <w:gridCol w:w="12"/>
        <w:gridCol w:w="813"/>
        <w:gridCol w:w="10"/>
        <w:gridCol w:w="800"/>
        <w:gridCol w:w="8"/>
        <w:gridCol w:w="802"/>
      </w:tblGrid>
      <w:tr>
        <w:trPr>
          <w:trHeight w:val="726"/>
          <w:tblHeader/>
        </w:trPr>
        <w:tc>
          <w:tcPr>
            <w:tcBorders/>
            <w:tcW w:w="448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序号</w:t>
            </w: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305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编码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545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项目名称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3150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项目内涵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除外内容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06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计价单位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725" w:type="dxa"/>
            <w:vAlign w:val="center"/>
            <w:vMerge w:val="restart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说明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7"/>
            <w:tcBorders/>
            <w:tcW w:w="325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广安市公立医疗机构价格（元）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cantSplit/>
          <w:trHeight w:val="739"/>
          <w:tblHeader/>
        </w:trPr>
        <w:tc>
          <w:tcPr>
            <w:tcBorders/>
            <w:tcW w:w="448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305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545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3150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06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1725" w:type="dxa"/>
            <w:vAlign w:val="center"/>
            <w:vMerge w:val="continue"/>
            <w:textDirection w:val="lrTb"/>
            <w:noWrap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22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三甲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23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三乙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2"/>
            <w:tcBorders/>
            <w:tcW w:w="80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二甲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/>
            <w:tcW w:w="802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二乙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72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120400011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中心静脉穿刺置管术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包括深静脉穿刺置管术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中心静脉套件、测压套件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增加：中心静脉导管拔管术收31元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60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56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2102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2.磁共振扫描（MRI）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含胶片及冲洗、数据存储介质、增强扫描用注射器耗材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造影剂、麻醉及其药物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83"/>
                <w:lang w:val="en-US" w:eastAsia="zh-CN" w:bidi="ar"/>
              </w:rPr>
              <w:t xml:space="preserve">计价部位分为:颅脑、眼眶、垂体、中耳、颈部、胸部、心脏、上腹部、下腹部、颈椎、胸椎、腰椎、盆腔、双髋关节、膝关节、颞颌关节、其他。</w:t>
            </w:r>
            <w:r>
              <w:rPr>
                <w:rStyle w:val="684"/>
                <w:lang w:val="en-US" w:eastAsia="zh-CN" w:bidi="ar"/>
              </w:rPr>
              <w:t xml:space="preserve">增加：三维容积重建加收。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48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220302011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腔内彩色多普勒超声检查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包括经阴道、经直肠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增加：排卵监测减收90元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138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132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126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cantSplit/>
        </w:trPr>
        <w:tc>
          <w:tcPr>
            <w:tcBorders/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250306011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血同型半胱氨酸测定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指色谱法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83"/>
                <w:lang w:val="en-US" w:eastAsia="zh-CN" w:bidi="ar"/>
              </w:rPr>
              <w:t xml:space="preserve">各种免疫学方法减收20元，荧光定量法加收30元，化学发光法加收15元。</w:t>
            </w:r>
            <w:r>
              <w:rPr>
                <w:rStyle w:val="684"/>
                <w:lang w:val="en-US" w:eastAsia="zh-CN" w:bidi="ar"/>
              </w:rPr>
              <w:t xml:space="preserve">增加：酶法减收42元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480"/>
        </w:trPr>
        <w:tc>
          <w:tcPr>
            <w:tcBorders/>
            <w:tcW w:w="448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250306011-4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血同型半胱氨酸测定（酶法）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72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250700010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唐氏综合症筛查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含检验项目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83"/>
                <w:lang w:val="en-US" w:eastAsia="zh-CN" w:bidi="ar"/>
              </w:rPr>
              <w:t xml:space="preserve">同时查神经管缺陷加收30%；查18—3体综合症加收20%。</w:t>
            </w:r>
            <w:r>
              <w:rPr>
                <w:rStyle w:val="684"/>
                <w:lang w:val="en-US" w:eastAsia="zh-CN" w:bidi="ar"/>
              </w:rPr>
              <w:t xml:space="preserve">增加：指二联筛查，每增加一联加收62元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20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6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270500001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特殊染色及酶组织化学染色诊断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每个标本，每种染色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增加：每个标本每种染色仪器法加收75元，自多不超过5种染色。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643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7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311000026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经输尿管镜碎石取石术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83"/>
                <w:lang w:val="en-US" w:eastAsia="zh-CN" w:bidi="ar"/>
              </w:rPr>
              <w:t xml:space="preserve">弹道法加收100元；</w:t>
            </w:r>
            <w:r>
              <w:rPr>
                <w:rStyle w:val="684"/>
                <w:lang w:val="en-US" w:eastAsia="zh-CN" w:bidi="ar"/>
              </w:rPr>
              <w:t xml:space="preserve">增加：激光法加收640元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659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626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585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487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288"/>
        </w:trPr>
        <w:tc>
          <w:tcPr>
            <w:tcBorders/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8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320200007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经皮动脉栓塞术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包括动脉瘤、肿瘤等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栓塞剂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增加：经皮静脉栓塞术减收100元，不与经皮动脉栓塞同时收费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1587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1508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1432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1361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84"/>
        </w:trPr>
        <w:tc>
          <w:tcPr>
            <w:tcBorders/>
            <w:tcW w:w="448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320200007-3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经皮静脉栓塞术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1487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1408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1332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1261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98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9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330100003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椎管内麻醉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含椎管内置管术,包括腰麻、硬膜外阻滞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腰麻硬膜外联合套件、硬膜外套件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pageBreakBefore w:val="false"/>
              <w:widowControl w:val="true"/>
              <w:suppressLineNumbers w:val="false"/>
              <w:pBdr/>
              <w:spacing w:line="240" w:lineRule="exact"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83"/>
                <w:lang w:val="en-US" w:eastAsia="zh-CN" w:bidi="ar"/>
              </w:rPr>
              <w:t xml:space="preserve">不足2小时按2小时收费，每增加1小时收取加时费50元，另外双穿刺点加收100元。</w:t>
            </w:r>
            <w:r>
              <w:rPr>
                <w:rStyle w:val="684"/>
                <w:lang w:val="en-US" w:eastAsia="zh-CN" w:bidi="ar"/>
              </w:rPr>
              <w:t xml:space="preserve">增加：椎管内分娩镇痛，2小时内加收371元，超过2小时每增加1小时在椎管内麻醉基础上加收113元，加收总费用不超过1288元，使用一次性麻醉呼吸回路、镇痛泵单独计费。椎管内分娩镇痛不与术后镇痛同时计费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405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387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370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352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48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10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331006012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胆总管探查T管引流术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440"/>
        </w:trPr>
        <w:tc>
          <w:tcPr>
            <w:tcBorders/>
            <w:tcW w:w="448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11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440000001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灸法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包括艾条灸、艾柱灸、艾箱灸、天灸、热敏灸等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增加：热敏灸治疗需要1医1护，时间不低于45分钟，不与其他灸法重复使用，加收80元。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1440"/>
        </w:trPr>
        <w:tc>
          <w:tcPr>
            <w:tcBorders/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12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HPB65601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经电子内镜食管胃十二指肠黏膜剥离术（ESD）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咽部麻醉，润滑，消泡，经口插入电子胃镜，胃镜检查，寻查肿物，于肿物基底部注射肾上腺素甘油果糖（或高渗盐水及美蓝或靛胭脂）以抬举病变黏膜部分，采用电刀等进行剥离，切除治疗。图文报告。不含监护、病理学检查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血管夹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增加：结直肠（ESD）参照计费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3061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2922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2783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720"/>
        </w:trPr>
        <w:tc>
          <w:tcPr>
            <w:tcBorders/>
            <w:tcW w:w="448" w:type="dxa"/>
            <w:vAlign w:val="center"/>
            <w:vMerge w:val="continue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HPB65601-1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545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经电子内镜结直肠黏膜剥离术（ESD）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3150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489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06" w:type="dxa"/>
            <w:vAlign w:val="center"/>
            <w:textDirection w:val="lrTb"/>
            <w:noWrap w:val="false"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1725" w:type="dxa"/>
            <w:vAlign w:val="center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3200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3061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2922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gridSpan w:val="2"/>
            <w:tcBorders/>
            <w:tcW w:w="810" w:type="dxa"/>
            <w:vAlign w:val="center"/>
            <w:textDirection w:val="lrTb"/>
            <w:noWrap/>
          </w:tcPr>
          <w:p>
            <w:pPr>
              <w:pStyle w:val="660"/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2783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h="11850" w:orient="portrait" w:w="16840"/>
      <w:pgMar w:top="1587" w:right="2098" w:bottom="1474" w:left="1984" w:header="851" w:footer="1395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</w:font>
  <w:font w:name="方正小标宋_GBK">
    <w:panose1 w:val="03000509000000000000"/>
  </w:font>
  <w:font w:name="Calibri Light">
    <w:panose1 w:val="020F0302020204030204"/>
  </w:font>
  <w:font w:name="仿宋">
    <w:panose1 w:val="02010609060101010101"/>
  </w:font>
  <w:font w:name="仿宋_GB2312">
    <w:panose1 w:val="02010609030101010101"/>
  </w:font>
  <w:font w:name="Tahoma">
    <w:panose1 w:val="020B0604030504040204"/>
  </w:font>
  <w:font w:name="黑体">
    <w:panose1 w:val="02010609060101010101"/>
  </w:font>
  <w:font w:name="微软雅黑">
    <w:panose1 w:val="020B05030202040202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pBdr/>
      <w:tabs>
        <w:tab w:val="center" w:leader="none" w:pos="4153"/>
        <w:tab w:val="right" w:leader="none" w:pos="8306"/>
      </w:tabs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3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4"/>
                            <w:keepNext w:val="false"/>
                            <w:keepLines w:val="false"/>
                            <w:pageBreakBefore w:val="false"/>
                            <w:widowControl w:val="false"/>
                            <w:pBdr/>
                            <w:tabs>
                              <w:tab w:val="center" w:leader="none" w:pos="4153"/>
                              <w:tab w:val="right" w:leader="none" w:pos="8306"/>
                            </w:tabs>
                            <w:spacing/>
                            <w:ind w:right="420" w:left="420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</w:r>
                        </w:p>
                        <w:p>
                          <w:pPr>
                            <w:pStyle w:val="660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left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64"/>
                      <w:keepNext w:val="false"/>
                      <w:keepLines w:val="false"/>
                      <w:pageBreakBefore w:val="false"/>
                      <w:widowControl w:val="false"/>
                      <w:pBdr/>
                      <w:tabs>
                        <w:tab w:val="center" w:leader="none" w:pos="4153"/>
                        <w:tab w:val="right" w:leader="none" w:pos="8306"/>
                      </w:tabs>
                      <w:spacing/>
                      <w:ind w:right="420" w:left="420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</w:r>
                  </w:p>
                  <w:p>
                    <w:pPr>
                      <w:pStyle w:val="660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pBdr>
        <w:bottom w:val="none" w:color="000000" w:sz="0" w:space="1"/>
      </w:pBdr>
      <w:tabs>
        <w:tab w:val="center" w:leader="none" w:pos="4153"/>
        <w:tab w:val="right" w:leader="none" w:pos="8306"/>
      </w:tabs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4">
    <w:name w:val="Title"/>
    <w:basedOn w:val="660"/>
    <w:next w:val="66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6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60"/>
    <w:next w:val="66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0"/>
    <w:next w:val="66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0"/>
    <w:next w:val="66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0"/>
    <w:next w:val="66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0"/>
    <w:next w:val="66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0"/>
    <w:next w:val="66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0"/>
    <w:next w:val="66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0"/>
    <w:next w:val="66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0"/>
    <w:next w:val="660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next w:val="664"/>
    <w:link w:val="660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paragraph" w:styleId="661">
    <w:name w:val="标题 1"/>
    <w:basedOn w:val="660"/>
    <w:next w:val="660"/>
    <w:link w:val="666"/>
    <w:qFormat/>
    <w:pPr>
      <w:keepNext w:val="true"/>
      <w:keepLines w:val="true"/>
      <w:pBdr/>
      <w:spacing w:after="330" w:before="340" w:line="578" w:lineRule="auto"/>
      <w:ind/>
      <w:jc w:val="center"/>
      <w:outlineLvl w:val="0"/>
    </w:pPr>
    <w:rPr>
      <w:rFonts w:eastAsia="黑体"/>
      <w:bCs/>
      <w:sz w:val="32"/>
      <w:szCs w:val="44"/>
    </w:rPr>
  </w:style>
  <w:style w:type="character" w:styleId="662">
    <w:name w:val="默认段落字体"/>
    <w:next w:val="662"/>
    <w:link w:val="679"/>
    <w:semiHidden/>
    <w:pPr>
      <w:pBdr/>
      <w:spacing/>
      <w:ind/>
    </w:pPr>
  </w:style>
  <w:style w:type="table" w:styleId="663">
    <w:name w:val="普通表格"/>
    <w:next w:val="663"/>
    <w:link w:val="660"/>
    <w:semiHidden/>
    <w:pPr>
      <w:keepNext w:val="false"/>
      <w:keepLines w:val="false"/>
      <w:widowControl w:val="true"/>
      <w:suppressLineNumbers w:val="false"/>
      <w:pBdr/>
      <w:spacing w:after="0" w:afterAutospacing="0" w:before="0" w:beforeAutospacing="0"/>
      <w:ind w:right="0" w:left="0"/>
    </w:pPr>
    <w:rPr>
      <w:rFonts w:ascii="Calibri" w:hAnsi="Calibri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4">
    <w:name w:val="页脚"/>
    <w:basedOn w:val="660"/>
    <w:next w:val="660"/>
    <w:link w:val="665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5">
    <w:name w:val="页脚 字符"/>
    <w:next w:val="665"/>
    <w:link w:val="664"/>
    <w:uiPriority w:val="99"/>
    <w:pPr>
      <w:pBdr/>
      <w:spacing/>
      <w:ind/>
    </w:pPr>
    <w:rPr>
      <w:rFonts w:eastAsia="宋体"/>
      <w:sz w:val="18"/>
      <w:szCs w:val="18"/>
      <w:lang w:val="en-US" w:eastAsia="zh-CN" w:bidi="ar-SA"/>
    </w:rPr>
  </w:style>
  <w:style w:type="character" w:styleId="666">
    <w:name w:val="标题 1 字符"/>
    <w:next w:val="666"/>
    <w:link w:val="661"/>
    <w:pPr>
      <w:pBdr/>
      <w:spacing/>
      <w:ind/>
    </w:pPr>
    <w:rPr>
      <w:rFonts w:eastAsia="黑体"/>
      <w:bCs/>
      <w:sz w:val="32"/>
      <w:szCs w:val="44"/>
      <w:lang w:val="en-US" w:eastAsia="zh-CN" w:bidi="ar-SA"/>
    </w:rPr>
  </w:style>
  <w:style w:type="paragraph" w:styleId="667">
    <w:name w:val="索引 8"/>
    <w:basedOn w:val="660"/>
    <w:next w:val="660"/>
    <w:link w:val="660"/>
    <w:qFormat/>
    <w:pPr>
      <w:pBdr/>
      <w:spacing/>
      <w:ind w:left="2940"/>
    </w:pPr>
    <w:rPr>
      <w:rFonts w:ascii="Calibri" w:hAnsi="Calibri" w:eastAsia="宋体" w:cs="Times New Roman"/>
      <w:szCs w:val="24"/>
    </w:rPr>
  </w:style>
  <w:style w:type="paragraph" w:styleId="668">
    <w:name w:val="正文文本"/>
    <w:basedOn w:val="660"/>
    <w:next w:val="667"/>
    <w:link w:val="660"/>
    <w:pPr>
      <w:pBdr/>
      <w:spacing w:after="120"/>
      <w:ind/>
    </w:pPr>
  </w:style>
  <w:style w:type="paragraph" w:styleId="669">
    <w:name w:val="正文文本缩进"/>
    <w:basedOn w:val="660"/>
    <w:next w:val="669"/>
    <w:link w:val="660"/>
    <w:qFormat/>
    <w:pPr>
      <w:pBdr/>
      <w:spacing w:after="120"/>
      <w:ind w:left="420"/>
    </w:pPr>
  </w:style>
  <w:style w:type="paragraph" w:styleId="670">
    <w:name w:val="纯文本"/>
    <w:basedOn w:val="660"/>
    <w:next w:val="670"/>
    <w:link w:val="660"/>
    <w:pPr>
      <w:pBdr/>
      <w:spacing/>
      <w:ind/>
    </w:pPr>
    <w:rPr>
      <w:rFonts w:ascii="宋体" w:hAnsi="Courier New" w:cs="Courier New"/>
      <w:szCs w:val="21"/>
    </w:rPr>
  </w:style>
  <w:style w:type="paragraph" w:styleId="671">
    <w:name w:val="批注框文本"/>
    <w:basedOn w:val="660"/>
    <w:next w:val="671"/>
    <w:link w:val="660"/>
    <w:semiHidden/>
    <w:pPr>
      <w:pBdr/>
      <w:spacing/>
      <w:ind/>
    </w:pPr>
    <w:rPr>
      <w:sz w:val="18"/>
      <w:szCs w:val="18"/>
    </w:rPr>
  </w:style>
  <w:style w:type="paragraph" w:styleId="672">
    <w:name w:val="页眉"/>
    <w:basedOn w:val="660"/>
    <w:next w:val="672"/>
    <w:link w:val="673"/>
    <w:uiPriority w:val="9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73">
    <w:name w:val="页眉 字符"/>
    <w:next w:val="673"/>
    <w:link w:val="672"/>
    <w:uiPriority w:val="99"/>
    <w:pPr>
      <w:pBdr/>
      <w:spacing/>
      <w:ind/>
    </w:pPr>
    <w:rPr>
      <w:sz w:val="18"/>
      <w:szCs w:val="18"/>
    </w:rPr>
  </w:style>
  <w:style w:type="paragraph" w:styleId="674">
    <w:name w:val="目录 1"/>
    <w:basedOn w:val="660"/>
    <w:next w:val="660"/>
    <w:link w:val="660"/>
    <w:semiHidden/>
    <w:pPr>
      <w:widowControl w:val="true"/>
      <w:pBdr/>
      <w:spacing w:after="100" w:line="276" w:lineRule="auto"/>
      <w:ind/>
      <w:jc w:val="left"/>
    </w:pPr>
    <w:rPr>
      <w:rFonts w:ascii="Calibri" w:hAnsi="Calibri"/>
      <w:sz w:val="22"/>
      <w:szCs w:val="22"/>
    </w:rPr>
  </w:style>
  <w:style w:type="paragraph" w:styleId="675">
    <w:name w:val="脚注文本"/>
    <w:basedOn w:val="660"/>
    <w:next w:val="676"/>
    <w:link w:val="660"/>
    <w:qFormat/>
    <w:pPr>
      <w:pBdr/>
      <w:spacing/>
      <w:ind/>
      <w:jc w:val="left"/>
    </w:pPr>
    <w:rPr>
      <w:sz w:val="18"/>
    </w:rPr>
  </w:style>
  <w:style w:type="paragraph" w:styleId="676">
    <w:name w:val="正文首行缩进 2"/>
    <w:basedOn w:val="669"/>
    <w:next w:val="676"/>
    <w:link w:val="660"/>
    <w:qFormat/>
    <w:pPr>
      <w:pBdr/>
      <w:spacing/>
      <w:ind w:firstLine="420"/>
    </w:pPr>
  </w:style>
  <w:style w:type="paragraph" w:styleId="677">
    <w:name w:val="普通(网站)"/>
    <w:basedOn w:val="660"/>
    <w:next w:val="677"/>
    <w:link w:val="660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color w:val="000000"/>
      <w:sz w:val="24"/>
    </w:rPr>
  </w:style>
  <w:style w:type="table" w:styleId="678">
    <w:name w:val="网格型"/>
    <w:basedOn w:val="663"/>
    <w:next w:val="678"/>
    <w:link w:val="660"/>
    <w:pPr>
      <w:widowControl w:val="false"/>
      <w:pBdr/>
      <w:spacing/>
      <w:ind/>
      <w:jc w:val="both"/>
    </w:pPr>
    <w:rPr>
      <w:rFonts w:eastAsia="仿宋_GB2312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9">
    <w:name w:val="_Style 7"/>
    <w:basedOn w:val="660"/>
    <w:next w:val="679"/>
    <w:link w:val="662"/>
    <w:pPr>
      <w:pBdr/>
      <w:spacing/>
      <w:ind/>
    </w:pPr>
    <w:rPr>
      <w:szCs w:val="20"/>
    </w:rPr>
  </w:style>
  <w:style w:type="character" w:styleId="680">
    <w:name w:val="页码"/>
    <w:basedOn w:val="662"/>
    <w:next w:val="680"/>
    <w:link w:val="660"/>
    <w:uiPriority w:val="99"/>
    <w:pPr>
      <w:pBdr/>
      <w:spacing/>
      <w:ind/>
    </w:pPr>
  </w:style>
  <w:style w:type="character" w:styleId="681">
    <w:name w:val="强调"/>
    <w:next w:val="681"/>
    <w:link w:val="660"/>
    <w:uiPriority w:val="20"/>
    <w:qFormat/>
    <w:pPr>
      <w:pBdr/>
      <w:spacing/>
      <w:ind/>
    </w:pPr>
    <w:rPr>
      <w:i/>
      <w:iCs/>
    </w:rPr>
  </w:style>
  <w:style w:type="character" w:styleId="682">
    <w:name w:val="超链接"/>
    <w:next w:val="682"/>
    <w:link w:val="660"/>
    <w:pPr>
      <w:pBdr/>
      <w:spacing/>
      <w:ind/>
    </w:pPr>
    <w:rPr>
      <w:rFonts w:cs="Times New Roman"/>
      <w:color w:val="0563c1"/>
      <w:u w:val="single"/>
    </w:rPr>
  </w:style>
  <w:style w:type="character" w:styleId="683">
    <w:name w:val="font21"/>
    <w:basedOn w:val="662"/>
    <w:next w:val="683"/>
    <w:link w:val="660"/>
    <w:qFormat/>
    <w:pPr>
      <w:pBdr/>
      <w:spacing/>
      <w:ind/>
    </w:pPr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84">
    <w:name w:val="font61"/>
    <w:basedOn w:val="662"/>
    <w:next w:val="684"/>
    <w:link w:val="660"/>
    <w:qFormat/>
    <w:pPr>
      <w:pBdr/>
      <w:spacing/>
      <w:ind/>
    </w:pPr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styleId="685">
    <w:name w:val="正文格式 Char"/>
    <w:next w:val="685"/>
    <w:link w:val="686"/>
    <w:qFormat/>
    <w:pPr>
      <w:pBdr/>
      <w:spacing/>
      <w:ind/>
    </w:pPr>
    <w:rPr>
      <w:rFonts w:ascii="仿宋_GB2312" w:hAnsi="仿宋" w:eastAsia="仿宋_GB2312"/>
      <w:sz w:val="32"/>
      <w:szCs w:val="32"/>
    </w:rPr>
  </w:style>
  <w:style w:type="paragraph" w:styleId="686">
    <w:name w:val="正文格式"/>
    <w:basedOn w:val="660"/>
    <w:next w:val="686"/>
    <w:link w:val="685"/>
    <w:qFormat/>
    <w:pPr>
      <w:pBdr/>
      <w:spacing w:line="600" w:lineRule="exact"/>
      <w:ind w:firstLine="640"/>
    </w:pPr>
    <w:rPr>
      <w:rFonts w:ascii="仿宋_GB2312" w:hAnsi="仿宋" w:eastAsia="仿宋_GB2312"/>
      <w:sz w:val="32"/>
      <w:szCs w:val="32"/>
    </w:rPr>
  </w:style>
  <w:style w:type="paragraph" w:styleId="687">
    <w:name w:val="CM1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88">
    <w:name w:val="Default"/>
    <w:next w:val="688"/>
    <w:link w:val="660"/>
    <w:pPr>
      <w:widowControl w:val="false"/>
      <w:pBdr/>
      <w:spacing/>
      <w:ind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689">
    <w:name w:val="CM2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90">
    <w:name w:val="No Spacing"/>
    <w:next w:val="690"/>
    <w:link w:val="660"/>
    <w:uiPriority w:val="1"/>
    <w:qFormat/>
    <w:pPr>
      <w:pBdr/>
      <w:spacing w:after="0" w:line="240" w:lineRule="auto"/>
      <w:ind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691">
    <w:name w:val="List Paragraph1"/>
    <w:basedOn w:val="660"/>
    <w:next w:val="691"/>
    <w:link w:val="660"/>
    <w:pPr>
      <w:pBdr/>
      <w:spacing/>
      <w:ind w:firstLine="420"/>
    </w:pPr>
    <w:rPr>
      <w:rFonts w:ascii="Calibri" w:hAnsi="Calibri"/>
    </w:rPr>
  </w:style>
  <w:style w:type="paragraph" w:styleId="692">
    <w:name w:val="文明建设宣传"/>
    <w:basedOn w:val="660"/>
    <w:next w:val="692"/>
    <w:link w:val="660"/>
    <w:pPr>
      <w:pBdr/>
      <w:spacing/>
      <w:ind/>
    </w:pPr>
    <w:rPr>
      <w:rFonts w:ascii="黑体" w:hAnsi="宋体" w:eastAsia="黑体"/>
      <w:b/>
      <w:bCs/>
      <w:color w:val="000000"/>
      <w:sz w:val="24"/>
    </w:rPr>
  </w:style>
  <w:style w:type="paragraph" w:styleId="693">
    <w:name w:val="列出段落2"/>
    <w:basedOn w:val="660"/>
    <w:next w:val="693"/>
    <w:link w:val="660"/>
    <w:pPr>
      <w:pBdr/>
      <w:spacing/>
      <w:ind w:firstLine="420"/>
    </w:pPr>
    <w:rPr>
      <w:rFonts w:ascii="Calibri" w:hAnsi="Calibri" w:eastAsia="仿宋_GB2312" w:cs="Calibri"/>
      <w:sz w:val="32"/>
      <w:szCs w:val="32"/>
    </w:rPr>
  </w:style>
  <w:style w:type="paragraph" w:styleId="694">
    <w:name w:val="列出段落3"/>
    <w:basedOn w:val="660"/>
    <w:next w:val="694"/>
    <w:link w:val="660"/>
    <w:pPr>
      <w:pBdr/>
      <w:spacing/>
      <w:ind w:firstLine="420"/>
    </w:pPr>
    <w:rPr>
      <w:rFonts w:ascii="Calibri" w:hAnsi="Calibri" w:cs="Calibri"/>
      <w:szCs w:val="21"/>
    </w:rPr>
  </w:style>
  <w:style w:type="paragraph" w:styleId="695">
    <w:name w:val="_Style 1"/>
    <w:next w:val="695"/>
    <w:link w:val="660"/>
    <w:uiPriority w:val="1"/>
    <w:qFormat/>
    <w:pPr>
      <w:widowControl w:val="false"/>
      <w:pBdr/>
      <w:spacing/>
      <w:ind w:firstLine="20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96">
    <w:name w:val="List Paragraph"/>
    <w:basedOn w:val="660"/>
    <w:next w:val="696"/>
    <w:link w:val="660"/>
    <w:pPr>
      <w:pBdr/>
      <w:spacing/>
      <w:ind w:firstLine="420"/>
    </w:pPr>
  </w:style>
  <w:style w:type="paragraph" w:styleId="697">
    <w:name w:val="CM3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698">
    <w:name w:val="reader-word-layer reader-word-s1-8"/>
    <w:basedOn w:val="660"/>
    <w:next w:val="698"/>
    <w:link w:val="660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paragraph" w:styleId="699">
    <w:name w:val="CM4"/>
    <w:basedOn w:val="688"/>
    <w:next w:val="688"/>
    <w:link w:val="660"/>
    <w:pPr>
      <w:pBdr/>
      <w:spacing w:line="623" w:lineRule="atLeast"/>
      <w:ind/>
    </w:pPr>
    <w:rPr>
      <w:rFonts w:cs="Times New Roman"/>
      <w:color w:val="000000"/>
    </w:rPr>
  </w:style>
  <w:style w:type="paragraph" w:styleId="700">
    <w:name w:val="Char"/>
    <w:basedOn w:val="660"/>
    <w:next w:val="700"/>
    <w:link w:val="660"/>
    <w:pPr>
      <w:pBdr/>
      <w:spacing/>
      <w:ind/>
    </w:pPr>
    <w:rPr>
      <w:szCs w:val="20"/>
    </w:rPr>
  </w:style>
  <w:style w:type="paragraph" w:styleId="701">
    <w:name w:val="Table Paragraph"/>
    <w:basedOn w:val="660"/>
    <w:next w:val="701"/>
    <w:link w:val="660"/>
    <w:uiPriority w:val="1"/>
    <w:qFormat/>
    <w:pPr>
      <w:pBdr/>
      <w:spacing/>
      <w:ind/>
    </w:pPr>
  </w:style>
  <w:style w:type="paragraph" w:styleId="702">
    <w:name w:val="TOC Heading"/>
    <w:basedOn w:val="661"/>
    <w:next w:val="660"/>
    <w:link w:val="660"/>
    <w:pPr>
      <w:widowControl w:val="true"/>
      <w:pBdr/>
      <w:spacing w:after="0" w:before="480" w:line="276" w:lineRule="auto"/>
      <w:ind/>
      <w:jc w:val="left"/>
      <w:outlineLvl w:val="9"/>
    </w:pPr>
    <w:rPr>
      <w:rFonts w:ascii="Calibri Light" w:hAnsi="Calibri Light" w:eastAsia="宋体"/>
      <w:b/>
      <w:color w:val="2e74b5"/>
      <w:sz w:val="28"/>
      <w:szCs w:val="28"/>
    </w:rPr>
  </w:style>
  <w:style w:type="paragraph" w:styleId="703">
    <w:name w:val="列出段落1"/>
    <w:basedOn w:val="660"/>
    <w:next w:val="703"/>
    <w:link w:val="660"/>
    <w:pPr>
      <w:pBdr/>
      <w:spacing/>
      <w:ind w:firstLine="420"/>
    </w:pPr>
    <w:rPr>
      <w:rFonts w:ascii="Calibri" w:hAnsi="Calibri" w:eastAsia="仿宋_GB2312" w:cs="Calibri"/>
      <w:sz w:val="32"/>
      <w:szCs w:val="32"/>
    </w:rPr>
  </w:style>
  <w:style w:type="character" w:styleId="2733" w:default="1">
    <w:name w:val="Default Paragraph Font"/>
    <w:uiPriority w:val="1"/>
    <w:semiHidden/>
    <w:unhideWhenUsed/>
    <w:pPr>
      <w:pBdr/>
      <w:spacing/>
      <w:ind/>
    </w:pPr>
  </w:style>
  <w:style w:type="numbering" w:styleId="2734" w:default="1">
    <w:name w:val="No List"/>
    <w:uiPriority w:val="99"/>
    <w:semiHidden/>
    <w:unhideWhenUsed/>
    <w:pPr>
      <w:pBdr/>
      <w:spacing/>
      <w:ind/>
    </w:pPr>
  </w:style>
  <w:style w:type="table" w:styleId="273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绵阳市医疗保险管理局关于做好20</dc:title>
  <dc:creator>DE</dc:creator>
  <cp:lastModifiedBy>匿名</cp:lastModifiedBy>
  <cp:revision>3</cp:revision>
  <dcterms:created xsi:type="dcterms:W3CDTF">2018-06-03T02:54:00Z</dcterms:created>
  <dcterms:modified xsi:type="dcterms:W3CDTF">2024-11-19T03:47:38Z</dcterms:modified>
</cp:coreProperties>
</file>