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78441"/>
      <w:bookmarkStart w:id="2" w:name="_Toc15396475"/>
      <w:bookmarkStart w:id="3" w:name="_Toc15396597"/>
      <w:bookmarkStart w:id="4" w:name="_Toc15377193"/>
      <w:bookmarkStart w:id="5" w:name="_Toc15377425"/>
      <w:r>
        <w:rPr>
          <w:rFonts w:hint="eastAsia" w:ascii="黑体" w:hAnsi="黑体" w:eastAsia="黑体"/>
          <w:color w:val="000000"/>
          <w:sz w:val="52"/>
          <w:szCs w:val="52"/>
          <w:lang w:eastAsia="zh-CN"/>
        </w:rPr>
        <w:t>2020年</w:t>
      </w:r>
      <w:r>
        <w:rPr>
          <w:rFonts w:hint="eastAsia" w:ascii="方正小标宋简体" w:hAnsi="宋体" w:eastAsia="方正小标宋简体"/>
          <w:color w:val="000000"/>
          <w:sz w:val="52"/>
          <w:szCs w:val="52"/>
        </w:rPr>
        <w:t>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52"/>
          <w:szCs w:val="52"/>
        </w:rPr>
      </w:pPr>
      <w:bookmarkStart w:id="6" w:name="_Toc15396476"/>
      <w:bookmarkStart w:id="7" w:name="_Toc15377426"/>
      <w:bookmarkStart w:id="8" w:name="_Toc15396598"/>
      <w:bookmarkStart w:id="9" w:name="_Toc15378442"/>
      <w:bookmarkStart w:id="10" w:name="_Toc15377194"/>
      <w:r>
        <w:rPr>
          <w:rFonts w:hint="eastAsia" w:ascii="方正小标宋简体" w:hAnsi="宋体" w:eastAsia="方正小标宋简体"/>
          <w:color w:val="000000"/>
          <w:sz w:val="52"/>
          <w:szCs w:val="52"/>
        </w:rPr>
        <w:t>广安市</w:t>
      </w:r>
      <w:r>
        <w:rPr>
          <w:rFonts w:hint="eastAsia" w:ascii="方正小标宋简体" w:hAnsi="宋体" w:eastAsia="方正小标宋简体"/>
          <w:color w:val="000000"/>
          <w:sz w:val="52"/>
          <w:szCs w:val="52"/>
          <w:lang w:eastAsia="zh-CN"/>
        </w:rPr>
        <w:t>前锋区</w:t>
      </w:r>
      <w:bookmarkEnd w:id="0"/>
      <w:bookmarkStart w:id="11" w:name="_Toc15306268"/>
      <w:r>
        <w:rPr>
          <w:rFonts w:hint="eastAsia" w:ascii="方正小标宋简体" w:hAnsi="宋体" w:eastAsia="方正小标宋简体"/>
          <w:color w:val="000000"/>
          <w:sz w:val="52"/>
          <w:szCs w:val="52"/>
          <w:lang w:eastAsia="zh-CN"/>
        </w:rPr>
        <w:t>妇幼保健计划生育服务中心</w:t>
      </w:r>
      <w:r>
        <w:rPr>
          <w:rFonts w:hint="eastAsia" w:ascii="方正小标宋简体" w:hAnsi="宋体" w:eastAsia="方正小标宋简体"/>
          <w:color w:val="000000"/>
          <w:sz w:val="52"/>
          <w:szCs w:val="52"/>
        </w:rPr>
        <w:t>决算</w:t>
      </w:r>
      <w:bookmarkEnd w:id="6"/>
      <w:bookmarkEnd w:id="7"/>
      <w:bookmarkEnd w:id="8"/>
      <w:bookmarkEnd w:id="9"/>
      <w:bookmarkEnd w:id="10"/>
      <w:bookmarkEnd w:id="11"/>
      <w:r>
        <w:rPr>
          <w:rFonts w:hint="eastAsia" w:ascii="方正小标宋简体" w:hAnsi="宋体" w:eastAsia="方正小标宋简体"/>
          <w:color w:val="000000"/>
          <w:sz w:val="52"/>
          <w:szCs w:val="52"/>
        </w:rPr>
        <w:t>编制说明</w:t>
      </w:r>
    </w:p>
    <w:p>
      <w:pPr>
        <w:adjustRightInd w:val="0"/>
        <w:snapToGrid w:val="0"/>
        <w:spacing w:line="360" w:lineRule="auto"/>
        <w:jc w:val="center"/>
        <w:outlineLvl w:val="0"/>
        <w:rPr>
          <w:rFonts w:ascii="方正小标宋简体" w:hAnsi="宋体" w:eastAsia="方正小标宋简体"/>
          <w:color w:val="000000"/>
          <w:sz w:val="48"/>
          <w:szCs w:val="48"/>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w:t>
      </w:r>
      <w:r>
        <w:rPr>
          <w:rFonts w:hint="eastAsia"/>
          <w:lang w:val="en-US" w:eastAsia="zh-CN"/>
        </w:rPr>
        <w:t>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pPr>
        <w:pStyle w:val="10"/>
        <w:rPr>
          <w:rFonts w:cstheme="minorBidi"/>
        </w:rPr>
      </w:pPr>
      <w:r>
        <w:fldChar w:fldCharType="begin"/>
      </w:r>
      <w:r>
        <w:instrText xml:space="preserve"> HYPERLINK \l "_Toc15396599" </w:instrText>
      </w:r>
      <w:r>
        <w:fldChar w:fldCharType="separate"/>
      </w:r>
      <w:r>
        <w:rPr>
          <w:rStyle w:val="17"/>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7"/>
          <w:rFonts w:hint="eastAsia"/>
        </w:rPr>
        <w:t>第二部分</w:t>
      </w:r>
      <w:r>
        <w:rPr>
          <w:rStyle w:val="17"/>
        </w:rPr>
        <w:t xml:space="preserve"> </w:t>
      </w:r>
      <w:r>
        <w:rPr>
          <w:rStyle w:val="17"/>
          <w:rFonts w:hint="eastAsia"/>
          <w:lang w:eastAsia="zh-CN"/>
        </w:rPr>
        <w:t>2020年</w:t>
      </w:r>
      <w:r>
        <w:rPr>
          <w:rStyle w:val="17"/>
          <w:rFonts w:hint="eastAsia"/>
        </w:rPr>
        <w:t>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7"/>
          <w:rFonts w:hint="eastAsia" w:ascii="仿宋" w:hAnsi="仿宋" w:eastAsia="仿宋" w:cstheme="majorBidi"/>
          <w:bCs/>
          <w:sz w:val="28"/>
          <w:szCs w:val="28"/>
        </w:rPr>
        <w:t>一、</w:t>
      </w:r>
      <w:r>
        <w:rPr>
          <w:rStyle w:val="17"/>
          <w:rFonts w:hint="eastAsia" w:ascii="仿宋" w:hAnsi="仿宋" w:eastAsia="仿宋"/>
          <w:sz w:val="28"/>
          <w:szCs w:val="28"/>
        </w:rPr>
        <w:t>收</w:t>
      </w:r>
      <w:r>
        <w:rPr>
          <w:rStyle w:val="17"/>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7"/>
          <w:rFonts w:hint="eastAsia" w:ascii="仿宋" w:hAnsi="仿宋" w:eastAsia="仿宋" w:cstheme="majorBidi"/>
          <w:bCs/>
          <w:sz w:val="28"/>
          <w:szCs w:val="28"/>
        </w:rPr>
        <w:t>二、</w:t>
      </w:r>
      <w:r>
        <w:rPr>
          <w:rStyle w:val="17"/>
          <w:rFonts w:hint="eastAsia" w:ascii="仿宋" w:hAnsi="仿宋" w:eastAsia="仿宋"/>
          <w:sz w:val="28"/>
          <w:szCs w:val="28"/>
        </w:rPr>
        <w:t>收</w:t>
      </w:r>
      <w:r>
        <w:rPr>
          <w:rStyle w:val="17"/>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7"/>
          <w:rFonts w:hint="eastAsia" w:ascii="仿宋" w:hAnsi="仿宋" w:eastAsia="仿宋" w:cstheme="majorBidi"/>
          <w:bCs/>
          <w:sz w:val="28"/>
          <w:szCs w:val="28"/>
        </w:rPr>
        <w:t>三、</w:t>
      </w:r>
      <w:r>
        <w:rPr>
          <w:rStyle w:val="17"/>
          <w:rFonts w:hint="eastAsia" w:ascii="仿宋" w:hAnsi="仿宋" w:eastAsia="仿宋"/>
          <w:sz w:val="28"/>
          <w:szCs w:val="28"/>
        </w:rPr>
        <w:t>支</w:t>
      </w:r>
      <w:r>
        <w:rPr>
          <w:rStyle w:val="17"/>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7"/>
          <w:rFonts w:hint="eastAsia" w:ascii="仿宋" w:hAnsi="仿宋" w:eastAsia="仿宋"/>
          <w:sz w:val="28"/>
          <w:szCs w:val="28"/>
        </w:rPr>
        <w:t>七、</w:t>
      </w:r>
      <w:r>
        <w:rPr>
          <w:rStyle w:val="17"/>
          <w:rFonts w:ascii="仿宋" w:hAnsi="仿宋" w:eastAsia="仿宋"/>
          <w:sz w:val="28"/>
          <w:szCs w:val="28"/>
        </w:rPr>
        <w:t>“</w:t>
      </w:r>
      <w:r>
        <w:rPr>
          <w:rStyle w:val="17"/>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7"/>
          <w:rFonts w:hint="eastAsia" w:ascii="仿宋" w:hAnsi="仿宋" w:eastAsia="仿宋" w:cstheme="majorBidi"/>
          <w:bCs/>
          <w:sz w:val="28"/>
          <w:szCs w:val="28"/>
        </w:rPr>
        <w:t>九、</w:t>
      </w:r>
      <w:r>
        <w:rPr>
          <w:rStyle w:val="17"/>
          <w:rFonts w:hint="eastAsia" w:ascii="仿宋" w:hAnsi="仿宋" w:eastAsia="仿宋"/>
          <w:sz w:val="28"/>
          <w:szCs w:val="28"/>
        </w:rPr>
        <w:t xml:space="preserve"> 国</w:t>
      </w:r>
      <w:r>
        <w:rPr>
          <w:rStyle w:val="17"/>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rPr>
          <w:rStyle w:val="17"/>
          <w:rFonts w:ascii="仿宋" w:hAnsi="仿宋" w:eastAsia="仿宋" w:cstheme="majorBidi"/>
          <w:bCs/>
          <w:sz w:val="28"/>
          <w:szCs w:val="28"/>
        </w:rPr>
      </w:pPr>
      <w:r>
        <w:rPr>
          <w:rFonts w:hint="eastAsia" w:ascii="仿宋" w:hAnsi="仿宋" w:eastAsia="仿宋"/>
          <w:sz w:val="28"/>
          <w:szCs w:val="28"/>
        </w:rPr>
        <w:t xml:space="preserve">   十、</w:t>
      </w:r>
      <w:r>
        <w:rPr>
          <w:rStyle w:val="17"/>
          <w:rFonts w:hint="eastAsia" w:ascii="仿宋" w:hAnsi="仿宋" w:eastAsia="仿宋" w:cstheme="majorBidi"/>
          <w:bCs/>
          <w:sz w:val="28"/>
          <w:szCs w:val="28"/>
        </w:rPr>
        <w:t>预算绩效情况说明</w:t>
      </w:r>
      <w:r>
        <w:rPr>
          <w:rStyle w:val="17"/>
          <w:rFonts w:ascii="Arial" w:hAnsi="Arial" w:eastAsia="仿宋" w:cs="Arial"/>
          <w:bCs/>
          <w:sz w:val="28"/>
          <w:szCs w:val="28"/>
        </w:rPr>
        <w:t>……………………………………………</w:t>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7"/>
          <w:rFonts w:hint="eastAsia" w:ascii="仿宋" w:hAnsi="仿宋" w:eastAsia="仿宋"/>
          <w:sz w:val="28"/>
          <w:szCs w:val="28"/>
        </w:rPr>
        <w:t>十</w:t>
      </w:r>
      <w:r>
        <w:rPr>
          <w:rStyle w:val="17"/>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5</w:t>
      </w:r>
    </w:p>
    <w:p>
      <w:pPr>
        <w:pStyle w:val="10"/>
        <w:rPr>
          <w:rFonts w:cstheme="minorBidi"/>
        </w:rPr>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 xml:space="preserve"> 名</w:t>
      </w:r>
      <w:r>
        <w:rPr>
          <w:rStyle w:val="17"/>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pPr>
        <w:pStyle w:val="10"/>
        <w:rPr>
          <w:rFonts w:cstheme="minorBidi"/>
        </w:rPr>
      </w:pPr>
      <w:r>
        <w:fldChar w:fldCharType="begin"/>
      </w:r>
      <w:r>
        <w:instrText xml:space="preserve"> HYPERLINK \l "_Toc15396618" </w:instrText>
      </w:r>
      <w:r>
        <w:fldChar w:fldCharType="separate"/>
      </w:r>
      <w:r>
        <w:rPr>
          <w:rStyle w:val="17"/>
          <w:rFonts w:hint="eastAsia"/>
        </w:rPr>
        <w:t>第</w:t>
      </w:r>
      <w:r>
        <w:rPr>
          <w:rStyle w:val="17"/>
          <w:rFonts w:hint="eastAsia"/>
          <w:bCs/>
          <w:kern w:val="44"/>
        </w:rPr>
        <w:t>五部分附表</w:t>
      </w:r>
      <w:r>
        <w:tab/>
      </w:r>
      <w:r>
        <w:fldChar w:fldCharType="begin"/>
      </w:r>
      <w:r>
        <w:instrText xml:space="preserve"> PAGEREF _Toc15396618 \h </w:instrText>
      </w:r>
      <w:r>
        <w:fldChar w:fldCharType="separate"/>
      </w:r>
      <w:r>
        <w:t>21</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7"/>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7"/>
          <w:rFonts w:hint="eastAsia" w:ascii="仿宋" w:hAnsi="仿宋" w:eastAsia="仿宋"/>
          <w:sz w:val="28"/>
          <w:szCs w:val="28"/>
        </w:rPr>
        <w:t>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7"/>
          <w:rFonts w:hint="eastAsia" w:ascii="仿宋" w:hAnsi="仿宋" w:eastAsia="仿宋"/>
          <w:sz w:val="28"/>
          <w:szCs w:val="28"/>
        </w:rPr>
        <w:t>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7"/>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7"/>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7"/>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7"/>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7"/>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7"/>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7"/>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7"/>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7"/>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3"/>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1.</w:t>
      </w:r>
      <w:r>
        <w:rPr>
          <w:rFonts w:hint="eastAsia" w:ascii="仿宋" w:hAnsi="仿宋" w:eastAsia="仿宋" w:cs="仿宋"/>
          <w:color w:val="0C0C0C"/>
          <w:sz w:val="32"/>
          <w:szCs w:val="32"/>
        </w:rPr>
        <w:t>以服务前锋的卫生计生事业，贯彻执行国家、省市卫生和计划生育的方针政策</w:t>
      </w:r>
      <w:r>
        <w:rPr>
          <w:rFonts w:hint="eastAsia" w:ascii="仿宋" w:hAnsi="仿宋" w:eastAsia="仿宋" w:cs="仿宋"/>
          <w:color w:val="0C0C0C"/>
          <w:sz w:val="32"/>
          <w:szCs w:val="32"/>
          <w:lang w:eastAsia="zh-CN"/>
        </w:rPr>
        <w:t>。</w:t>
      </w:r>
      <w:r>
        <w:rPr>
          <w:rFonts w:hint="eastAsia" w:ascii="仿宋" w:hAnsi="仿宋" w:eastAsia="仿宋" w:cs="仿宋"/>
          <w:color w:val="0C0C0C"/>
          <w:kern w:val="0"/>
          <w:sz w:val="32"/>
          <w:szCs w:val="32"/>
          <w:lang w:val="en-US" w:eastAsia="zh-CN" w:bidi="ar-SA"/>
        </w:rPr>
        <w:t>履行公共卫生职责，掌握辖区内妇女儿童健康状况信息，为辖区内妇女儿童提供育龄妇女保健、围产保健、儿童保健、计划生育技术等妇幼保健计生技术服务，控制孕产妇及5岁以下儿童死亡率。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2.受市卫健委委托，承担辖区内妇幼保健、母婴保健技术、计划生育服务技术人员的培训和技术支持工作；负责对本辖区内各级医疗保健机构开展妇幼卫生计生服务质量的检查、考核与评价。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3.负责对幼儿园、托儿所的卫生保健工作进行评估和监督；负责对入园、入托儿童、托幼机构工作人员卫生保健的监督管理。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4.承担计划生育宣传教育、技术服务、优生指导、药具发放、信息咨询、随访服务、生殖保健等工作。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5.普及妇幼卫生科学和计划生育技术知识，配合有关部门落实各项保健措施和以避孕为主的综合节育措施。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6.负责开展婚前医学检查、孕前优生优育健康检查和孕期出生缺陷综合防控等工作。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7.负责提供妇女儿童的基本医疗服务，包括妇女儿童常见病、多发病的诊治，孕产妇分娩的助产技术等服务。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8.负责全区妇幼保健计划生育技术服务的信息收集、统计、整理、分析、质量控制和汇总上报。</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cs="仿宋"/>
          <w:color w:val="0C0C0C"/>
          <w:kern w:val="0"/>
          <w:sz w:val="32"/>
          <w:szCs w:val="32"/>
          <w:lang w:val="en-US" w:eastAsia="zh-CN" w:bidi="ar-SA"/>
        </w:rPr>
        <w:t>9.完成区委、区政府等上级单位交办的其他事项。</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hint="eastAsia" w:ascii="仿宋" w:hAnsi="仿宋" w:eastAsia="仿宋"/>
          <w:bCs/>
          <w:color w:val="000000"/>
          <w:sz w:val="32"/>
          <w:szCs w:val="32"/>
          <w:lang w:eastAsia="zh-CN"/>
        </w:rPr>
        <w:t>2020年</w:t>
      </w:r>
      <w:r>
        <w:rPr>
          <w:rFonts w:hint="eastAsia" w:ascii="仿宋" w:hAnsi="仿宋" w:eastAsia="仿宋"/>
          <w:bCs/>
          <w:color w:val="000000"/>
          <w:sz w:val="32"/>
          <w:szCs w:val="32"/>
        </w:rPr>
        <w:t>重点工作完成情况。</w:t>
      </w:r>
      <w:bookmarkEnd w:id="18"/>
      <w:bookmarkEnd w:id="19"/>
    </w:p>
    <w:p>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kern w:val="0"/>
          <w:sz w:val="32"/>
          <w:szCs w:val="32"/>
        </w:rPr>
        <w:t>强化妇幼卫生工作信息上报工作</w:t>
      </w:r>
      <w:r>
        <w:rPr>
          <w:rFonts w:hint="eastAsia" w:ascii="仿宋" w:hAnsi="仿宋" w:eastAsia="仿宋" w:cs="仿宋"/>
          <w:b/>
          <w:bC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督促各乡镇卫生院及时上报报表，并按时完成了</w:t>
      </w:r>
      <w:r>
        <w:rPr>
          <w:rFonts w:hint="eastAsia" w:ascii="仿宋" w:hAnsi="仿宋" w:eastAsia="仿宋" w:cs="仿宋"/>
          <w:color w:val="000000"/>
          <w:kern w:val="0"/>
          <w:sz w:val="32"/>
          <w:szCs w:val="32"/>
          <w:lang w:val="en-US" w:eastAsia="zh-CN"/>
        </w:rPr>
        <w:t>2020</w:t>
      </w:r>
      <w:r>
        <w:rPr>
          <w:rFonts w:hint="eastAsia" w:ascii="仿宋" w:hAnsi="仿宋" w:eastAsia="仿宋" w:cs="仿宋"/>
          <w:color w:val="000000"/>
          <w:kern w:val="0"/>
          <w:sz w:val="32"/>
          <w:szCs w:val="32"/>
        </w:rPr>
        <w:t>年度的妇幼信息年报工作</w:t>
      </w:r>
      <w:r>
        <w:rPr>
          <w:rFonts w:hint="eastAsia" w:ascii="仿宋" w:hAnsi="仿宋" w:eastAsia="仿宋" w:cs="仿宋"/>
          <w:color w:val="000000"/>
          <w:kern w:val="0"/>
          <w:sz w:val="32"/>
          <w:szCs w:val="32"/>
          <w:lang w:eastAsia="zh-CN"/>
        </w:rPr>
        <w:t>。</w:t>
      </w:r>
      <w:r>
        <w:rPr>
          <w:rFonts w:hint="eastAsia" w:ascii="仿宋" w:hAnsi="仿宋" w:eastAsia="仿宋" w:cs="仿宋"/>
          <w:color w:val="000000" w:themeColor="text1"/>
          <w:sz w:val="32"/>
          <w:szCs w:val="32"/>
        </w:rPr>
        <w:t>全区1-</w:t>
      </w:r>
      <w:r>
        <w:rPr>
          <w:rFonts w:hint="eastAsia" w:ascii="仿宋" w:hAnsi="仿宋" w:eastAsia="仿宋" w:cs="仿宋"/>
          <w:color w:val="000000" w:themeColor="text1"/>
          <w:sz w:val="32"/>
          <w:szCs w:val="32"/>
          <w:lang w:val="en-US" w:eastAsia="zh-CN"/>
        </w:rPr>
        <w:t>12</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eastAsia="zh-CN"/>
        </w:rPr>
        <w:t>孕产妇</w:t>
      </w:r>
      <w:r>
        <w:rPr>
          <w:rFonts w:hint="eastAsia" w:ascii="仿宋" w:hAnsi="仿宋" w:eastAsia="仿宋" w:cs="仿宋"/>
          <w:color w:val="000000" w:themeColor="text1"/>
          <w:sz w:val="32"/>
          <w:szCs w:val="32"/>
          <w:lang w:val="en-US" w:eastAsia="zh-CN"/>
        </w:rPr>
        <w:t>789</w:t>
      </w:r>
      <w:r>
        <w:rPr>
          <w:rFonts w:hint="eastAsia" w:ascii="仿宋" w:hAnsi="仿宋" w:eastAsia="仿宋" w:cs="仿宋"/>
          <w:color w:val="000000" w:themeColor="text1"/>
          <w:sz w:val="32"/>
          <w:szCs w:val="32"/>
        </w:rPr>
        <w:t>人，早孕建册人数</w:t>
      </w:r>
      <w:r>
        <w:rPr>
          <w:rFonts w:hint="eastAsia" w:ascii="仿宋" w:hAnsi="仿宋" w:eastAsia="仿宋" w:cs="仿宋"/>
          <w:color w:val="000000" w:themeColor="text1"/>
          <w:sz w:val="32"/>
          <w:szCs w:val="32"/>
          <w:lang w:val="en-US" w:eastAsia="zh-CN"/>
        </w:rPr>
        <w:t>679</w:t>
      </w:r>
      <w:r>
        <w:rPr>
          <w:rFonts w:hint="eastAsia" w:ascii="仿宋" w:hAnsi="仿宋" w:eastAsia="仿宋" w:cs="仿宋"/>
          <w:color w:val="000000" w:themeColor="text1"/>
          <w:sz w:val="32"/>
          <w:szCs w:val="32"/>
        </w:rPr>
        <w:t>人，早孕建册率8</w:t>
      </w:r>
      <w:r>
        <w:rPr>
          <w:rFonts w:hint="eastAsia" w:ascii="仿宋" w:hAnsi="仿宋" w:eastAsia="仿宋" w:cs="仿宋"/>
          <w:color w:val="000000" w:themeColor="text1"/>
          <w:sz w:val="32"/>
          <w:szCs w:val="32"/>
          <w:lang w:val="en-US" w:eastAsia="zh-CN"/>
        </w:rPr>
        <w:t>6.06</w:t>
      </w:r>
      <w:r>
        <w:rPr>
          <w:rFonts w:hint="eastAsia" w:ascii="仿宋" w:hAnsi="仿宋" w:eastAsia="仿宋" w:cs="仿宋"/>
          <w:color w:val="000000" w:themeColor="text1"/>
          <w:sz w:val="32"/>
          <w:szCs w:val="32"/>
        </w:rPr>
        <w:t>%；产后访视</w:t>
      </w:r>
      <w:r>
        <w:rPr>
          <w:rFonts w:hint="eastAsia" w:ascii="仿宋" w:hAnsi="仿宋" w:eastAsia="仿宋" w:cs="仿宋"/>
          <w:color w:val="000000" w:themeColor="text1"/>
          <w:sz w:val="32"/>
          <w:szCs w:val="32"/>
          <w:lang w:val="en-US" w:eastAsia="zh-CN"/>
        </w:rPr>
        <w:t>771</w:t>
      </w:r>
      <w:r>
        <w:rPr>
          <w:rFonts w:hint="eastAsia" w:ascii="仿宋" w:hAnsi="仿宋" w:eastAsia="仿宋" w:cs="仿宋"/>
          <w:color w:val="000000" w:themeColor="text1"/>
          <w:sz w:val="32"/>
          <w:szCs w:val="32"/>
        </w:rPr>
        <w:t>人，产后访视率9</w:t>
      </w:r>
      <w:r>
        <w:rPr>
          <w:rFonts w:hint="eastAsia" w:ascii="仿宋" w:hAnsi="仿宋" w:eastAsia="仿宋" w:cs="仿宋"/>
          <w:color w:val="000000" w:themeColor="text1"/>
          <w:sz w:val="32"/>
          <w:szCs w:val="32"/>
          <w:lang w:val="en-US" w:eastAsia="zh-CN"/>
        </w:rPr>
        <w:t>7.72</w:t>
      </w:r>
      <w:r>
        <w:rPr>
          <w:rFonts w:hint="eastAsia" w:ascii="仿宋" w:hAnsi="仿宋" w:eastAsia="仿宋" w:cs="仿宋"/>
          <w:color w:val="000000" w:themeColor="text1"/>
          <w:sz w:val="32"/>
          <w:szCs w:val="32"/>
        </w:rPr>
        <w:t>%</w:t>
      </w:r>
      <w:r>
        <w:rPr>
          <w:rFonts w:hint="eastAsia" w:ascii="仿宋" w:hAnsi="仿宋" w:eastAsia="仿宋" w:cs="仿宋"/>
          <w:color w:val="C00000"/>
          <w:sz w:val="32"/>
          <w:szCs w:val="32"/>
        </w:rPr>
        <w:t xml:space="preserve">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全区</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月建档数为</w:t>
      </w:r>
      <w:r>
        <w:rPr>
          <w:rFonts w:hint="eastAsia" w:ascii="仿宋" w:hAnsi="仿宋" w:eastAsia="仿宋" w:cs="仿宋"/>
          <w:color w:val="auto"/>
          <w:sz w:val="32"/>
          <w:szCs w:val="32"/>
          <w:lang w:val="en-US" w:eastAsia="zh-CN"/>
        </w:rPr>
        <w:t>8757</w:t>
      </w:r>
      <w:r>
        <w:rPr>
          <w:rFonts w:hint="eastAsia" w:ascii="仿宋" w:hAnsi="仿宋" w:eastAsia="仿宋" w:cs="仿宋"/>
          <w:color w:val="auto"/>
          <w:sz w:val="32"/>
          <w:szCs w:val="32"/>
        </w:rPr>
        <w:t>人；在管儿童数</w:t>
      </w:r>
      <w:r>
        <w:rPr>
          <w:rFonts w:hint="eastAsia" w:ascii="仿宋" w:hAnsi="仿宋" w:eastAsia="仿宋" w:cs="仿宋"/>
          <w:color w:val="auto"/>
          <w:sz w:val="32"/>
          <w:szCs w:val="32"/>
          <w:lang w:val="en-US" w:eastAsia="zh-CN"/>
        </w:rPr>
        <w:t>8002</w:t>
      </w:r>
      <w:r>
        <w:rPr>
          <w:rFonts w:hint="eastAsia" w:ascii="仿宋" w:hAnsi="仿宋" w:eastAsia="仿宋" w:cs="仿宋"/>
          <w:color w:val="auto"/>
          <w:sz w:val="32"/>
          <w:szCs w:val="32"/>
        </w:rPr>
        <w:t>次，健康管理率</w:t>
      </w:r>
      <w:r>
        <w:rPr>
          <w:rFonts w:hint="eastAsia" w:ascii="仿宋" w:hAnsi="仿宋" w:eastAsia="仿宋" w:cs="仿宋"/>
          <w:color w:val="auto"/>
          <w:sz w:val="32"/>
          <w:szCs w:val="32"/>
          <w:lang w:val="en-US" w:eastAsia="zh-CN"/>
        </w:rPr>
        <w:t>91.3</w:t>
      </w:r>
      <w:r>
        <w:rPr>
          <w:rFonts w:hint="eastAsia" w:ascii="仿宋" w:hAnsi="仿宋" w:eastAsia="仿宋" w:cs="仿宋"/>
          <w:color w:val="auto"/>
          <w:sz w:val="32"/>
          <w:szCs w:val="32"/>
        </w:rPr>
        <w:t>8%。5岁以下儿童死亡</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人，死亡率</w:t>
      </w:r>
      <w:r>
        <w:rPr>
          <w:rFonts w:hint="eastAsia" w:ascii="仿宋" w:hAnsi="仿宋" w:eastAsia="仿宋" w:cs="仿宋"/>
          <w:color w:val="auto"/>
          <w:sz w:val="32"/>
          <w:szCs w:val="32"/>
          <w:lang w:val="en-US" w:eastAsia="zh-CN"/>
        </w:rPr>
        <w:t>5.46</w:t>
      </w:r>
      <w:r>
        <w:rPr>
          <w:rFonts w:hint="eastAsia" w:ascii="仿宋" w:hAnsi="仿宋" w:eastAsia="仿宋" w:cs="仿宋"/>
          <w:color w:val="auto"/>
          <w:sz w:val="32"/>
          <w:szCs w:val="32"/>
        </w:rPr>
        <w:t>‰；婴儿死亡</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人，死亡率</w:t>
      </w:r>
      <w:r>
        <w:rPr>
          <w:rFonts w:hint="eastAsia" w:ascii="仿宋" w:hAnsi="仿宋" w:eastAsia="仿宋" w:cs="仿宋"/>
          <w:color w:val="auto"/>
          <w:sz w:val="32"/>
          <w:szCs w:val="32"/>
          <w:lang w:val="en-US" w:eastAsia="zh-CN"/>
        </w:rPr>
        <w:t>4.25</w:t>
      </w:r>
      <w:r>
        <w:rPr>
          <w:rFonts w:hint="eastAsia" w:ascii="仿宋" w:hAnsi="仿宋" w:eastAsia="仿宋" w:cs="仿宋"/>
          <w:color w:val="auto"/>
          <w:sz w:val="32"/>
          <w:szCs w:val="32"/>
        </w:rPr>
        <w:t>‰；新生儿死亡</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人，死亡率</w:t>
      </w:r>
      <w:r>
        <w:rPr>
          <w:rFonts w:hint="eastAsia" w:ascii="仿宋" w:hAnsi="仿宋" w:eastAsia="仿宋" w:cs="仿宋"/>
          <w:color w:val="auto"/>
          <w:sz w:val="32"/>
          <w:szCs w:val="32"/>
          <w:lang w:val="en-US" w:eastAsia="zh-CN"/>
        </w:rPr>
        <w:t>2.43</w:t>
      </w:r>
      <w:r>
        <w:rPr>
          <w:rFonts w:hint="eastAsia" w:ascii="仿宋" w:hAnsi="仿宋" w:eastAsia="仿宋" w:cs="仿宋"/>
          <w:color w:val="auto"/>
          <w:sz w:val="32"/>
          <w:szCs w:val="32"/>
        </w:rPr>
        <w:t>‰。</w:t>
      </w:r>
    </w:p>
    <w:p>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lang w:val="en-US" w:eastAsia="zh-CN"/>
        </w:rPr>
        <w:t>2</w:t>
      </w:r>
      <w:r>
        <w:rPr>
          <w:rFonts w:hint="eastAsia" w:ascii="仿宋" w:hAnsi="仿宋" w:eastAsia="仿宋" w:cs="仿宋"/>
          <w:b/>
          <w:bCs/>
          <w:color w:val="000000"/>
          <w:kern w:val="0"/>
          <w:sz w:val="32"/>
          <w:szCs w:val="32"/>
        </w:rPr>
        <w:t>、加强增补叶酸预防神经管缺陷</w:t>
      </w:r>
      <w:r>
        <w:rPr>
          <w:rFonts w:hint="eastAsia" w:ascii="仿宋" w:hAnsi="仿宋" w:eastAsia="仿宋" w:cs="仿宋"/>
          <w:b/>
          <w:bC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加强宣传“增补叶酸预防神经管缺陷”项目的重要内容。我</w:t>
      </w:r>
      <w:r>
        <w:rPr>
          <w:rFonts w:hint="eastAsia" w:ascii="仿宋" w:hAnsi="仿宋" w:eastAsia="仿宋" w:cs="仿宋"/>
          <w:color w:val="000000"/>
          <w:kern w:val="0"/>
          <w:sz w:val="32"/>
          <w:szCs w:val="32"/>
          <w:lang w:eastAsia="zh-CN"/>
        </w:rPr>
        <w:t>中心</w:t>
      </w:r>
      <w:r>
        <w:rPr>
          <w:rFonts w:hint="eastAsia" w:ascii="仿宋" w:hAnsi="仿宋" w:eastAsia="仿宋" w:cs="仿宋"/>
          <w:color w:val="000000"/>
          <w:kern w:val="0"/>
          <w:sz w:val="32"/>
          <w:szCs w:val="32"/>
        </w:rPr>
        <w:t>通过采取宣传栏，印发宣传资料以及利用LED</w:t>
      </w:r>
      <w:r>
        <w:rPr>
          <w:rFonts w:hint="eastAsia" w:ascii="仿宋" w:hAnsi="仿宋" w:eastAsia="仿宋" w:cs="仿宋"/>
          <w:color w:val="000000"/>
          <w:kern w:val="0"/>
          <w:sz w:val="32"/>
          <w:szCs w:val="32"/>
          <w:lang w:eastAsia="zh-CN"/>
        </w:rPr>
        <w:t>显示屏</w:t>
      </w:r>
      <w:r>
        <w:rPr>
          <w:rFonts w:hint="eastAsia" w:ascii="仿宋" w:hAnsi="仿宋" w:eastAsia="仿宋" w:cs="仿宋"/>
          <w:color w:val="000000"/>
          <w:kern w:val="0"/>
          <w:sz w:val="32"/>
          <w:szCs w:val="32"/>
        </w:rPr>
        <w:t>等形式宣传</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准备怀孕妇女及孕早期妇女补充小剂量叶酸的好处及领取叶酸的程序。通过宣传提高了准备怀孕农村妇女及孕早期妇女知晓率。</w:t>
      </w:r>
    </w:p>
    <w:p>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b/>
          <w:bCs/>
          <w:color w:val="000000"/>
          <w:kern w:val="0"/>
          <w:sz w:val="32"/>
          <w:szCs w:val="32"/>
          <w:lang w:val="en-US" w:eastAsia="zh-CN"/>
        </w:rPr>
        <w:t>3</w:t>
      </w:r>
      <w:r>
        <w:rPr>
          <w:rFonts w:hint="eastAsia" w:ascii="仿宋" w:hAnsi="仿宋" w:eastAsia="仿宋" w:cs="仿宋"/>
          <w:b/>
          <w:bCs/>
          <w:color w:val="000000"/>
          <w:kern w:val="0"/>
          <w:sz w:val="32"/>
          <w:szCs w:val="32"/>
        </w:rPr>
        <w:t>、努力开展免费婚检工作，降低我区新生儿出生缺陷</w:t>
      </w:r>
      <w:r>
        <w:rPr>
          <w:rFonts w:hint="eastAsia" w:ascii="仿宋" w:hAnsi="仿宋" w:eastAsia="仿宋" w:cs="仿宋"/>
          <w:b/>
          <w:bC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我院制订了免费婚检实施方案，专门成立</w:t>
      </w:r>
      <w:r>
        <w:rPr>
          <w:rFonts w:hint="eastAsia" w:ascii="仿宋" w:hAnsi="仿宋" w:eastAsia="仿宋" w:cs="仿宋"/>
          <w:color w:val="000000"/>
          <w:kern w:val="0"/>
          <w:sz w:val="32"/>
          <w:szCs w:val="32"/>
          <w:lang w:val="en-US" w:eastAsia="zh-CN"/>
        </w:rPr>
        <w:t>免费婚检科</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设专人在婚姻登记中心协助宣传、发放婚检资料。</w:t>
      </w:r>
      <w:r>
        <w:rPr>
          <w:rFonts w:hint="eastAsia" w:ascii="仿宋" w:hAnsi="仿宋" w:eastAsia="仿宋" w:cs="仿宋"/>
          <w:color w:val="000000"/>
          <w:kern w:val="0"/>
          <w:sz w:val="32"/>
          <w:szCs w:val="32"/>
        </w:rPr>
        <w:t>今年免费婚检</w:t>
      </w:r>
      <w:r>
        <w:rPr>
          <w:rFonts w:hint="eastAsia" w:ascii="仿宋" w:hAnsi="仿宋" w:eastAsia="仿宋" w:cs="仿宋"/>
          <w:color w:val="000000"/>
          <w:kern w:val="0"/>
          <w:sz w:val="32"/>
          <w:szCs w:val="32"/>
          <w:lang w:eastAsia="zh-CN"/>
        </w:rPr>
        <w:t>任务数为</w:t>
      </w:r>
      <w:r>
        <w:rPr>
          <w:rFonts w:hint="eastAsia" w:ascii="仿宋" w:hAnsi="仿宋" w:eastAsia="仿宋" w:cs="仿宋"/>
          <w:color w:val="000000"/>
          <w:kern w:val="0"/>
          <w:sz w:val="32"/>
          <w:szCs w:val="32"/>
          <w:lang w:val="en-US" w:eastAsia="zh-CN"/>
        </w:rPr>
        <w:t>1600对，</w:t>
      </w:r>
      <w:r>
        <w:rPr>
          <w:rFonts w:hint="eastAsia" w:ascii="仿宋" w:hAnsi="仿宋" w:eastAsia="仿宋" w:cs="仿宋"/>
          <w:sz w:val="32"/>
          <w:szCs w:val="32"/>
        </w:rPr>
        <w:t>现已经完成</w:t>
      </w:r>
      <w:r>
        <w:rPr>
          <w:rFonts w:hint="eastAsia" w:ascii="仿宋" w:hAnsi="仿宋" w:eastAsia="仿宋" w:cs="仿宋"/>
          <w:color w:val="000000"/>
          <w:kern w:val="0"/>
          <w:sz w:val="32"/>
          <w:szCs w:val="32"/>
          <w:lang w:val="en-US" w:eastAsia="zh-CN"/>
        </w:rPr>
        <w:t>1762</w:t>
      </w:r>
      <w:r>
        <w:rPr>
          <w:rFonts w:hint="eastAsia" w:ascii="仿宋" w:hAnsi="仿宋" w:eastAsia="仿宋" w:cs="仿宋"/>
          <w:color w:val="000000"/>
          <w:kern w:val="0"/>
          <w:sz w:val="32"/>
          <w:szCs w:val="32"/>
        </w:rPr>
        <w:t>对，婚检率</w:t>
      </w:r>
      <w:r>
        <w:rPr>
          <w:rFonts w:hint="eastAsia" w:ascii="仿宋" w:hAnsi="仿宋" w:eastAsia="仿宋" w:cs="仿宋"/>
          <w:color w:val="000000"/>
          <w:kern w:val="0"/>
          <w:sz w:val="32"/>
          <w:szCs w:val="32"/>
          <w:lang w:val="en-US" w:eastAsia="zh-CN"/>
        </w:rPr>
        <w:t>110</w:t>
      </w:r>
      <w:r>
        <w:rPr>
          <w:rFonts w:hint="eastAsia" w:ascii="仿宋" w:hAnsi="仿宋" w:eastAsia="仿宋" w:cs="仿宋"/>
          <w:color w:val="000000"/>
          <w:kern w:val="0"/>
          <w:sz w:val="32"/>
          <w:szCs w:val="32"/>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4、开展孕前优生健康检查，预防出生缺陷。</w:t>
      </w:r>
    </w:p>
    <w:p>
      <w:pPr>
        <w:pageBreakBefore w:val="0"/>
        <w:widowControl/>
        <w:numPr>
          <w:ilvl w:val="0"/>
          <w:numId w:val="0"/>
        </w:numPr>
        <w:kinsoku/>
        <w:wordWrap w:val="0"/>
        <w:overflowPunct/>
        <w:topLinePunct w:val="0"/>
        <w:bidi w:val="0"/>
        <w:spacing w:line="420" w:lineRule="atLeast"/>
        <w:ind w:firstLine="640" w:firstLineChars="200"/>
        <w:jc w:val="left"/>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自开展“国家免费孕前优生健康检查”以来，我院始终以科学发展观为指导，坚持以人为本的优质服务理念，坚持面向基层，面向家庭，面向育龄人群，充分发挥人口计生服务网络优势，以计划怀孕夫妇为重点，全面开展免费孕前优势健康检查，切实加强怀孕夫妇的风险意识，减少非意愿妊娠，最大限度地减少新生儿缺陷的发生。</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年前锋区孕前优生健康检查任务数为</w:t>
      </w:r>
      <w:r>
        <w:rPr>
          <w:rFonts w:hint="eastAsia" w:ascii="仿宋" w:hAnsi="仿宋" w:eastAsia="仿宋" w:cs="仿宋"/>
          <w:sz w:val="32"/>
          <w:szCs w:val="32"/>
          <w:lang w:val="en-US" w:eastAsia="zh-CN"/>
        </w:rPr>
        <w:t>1660对，完成1670对。完成率100.6%</w:t>
      </w:r>
    </w:p>
    <w:p>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lang w:val="en-US" w:eastAsia="zh-CN"/>
        </w:rPr>
        <w:t>5</w:t>
      </w:r>
      <w:r>
        <w:rPr>
          <w:rFonts w:hint="eastAsia" w:ascii="仿宋" w:hAnsi="仿宋" w:eastAsia="仿宋" w:cs="仿宋"/>
          <w:b/>
          <w:bCs/>
          <w:color w:val="000000"/>
          <w:kern w:val="0"/>
          <w:sz w:val="32"/>
          <w:szCs w:val="32"/>
        </w:rPr>
        <w:t>、加强产前筛查及新生儿筛查力度，提高出生人口素质</w:t>
      </w:r>
      <w:r>
        <w:rPr>
          <w:rFonts w:hint="eastAsia" w:ascii="仿宋" w:hAnsi="仿宋" w:eastAsia="仿宋" w:cs="仿宋"/>
          <w:b/>
          <w:bC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为提高我</w:t>
      </w:r>
      <w:r>
        <w:rPr>
          <w:rFonts w:hint="eastAsia" w:ascii="仿宋" w:hAnsi="仿宋" w:eastAsia="仿宋" w:cs="仿宋"/>
          <w:color w:val="000000"/>
          <w:kern w:val="0"/>
          <w:sz w:val="32"/>
          <w:szCs w:val="32"/>
          <w:lang w:val="en-US" w:eastAsia="zh-CN"/>
        </w:rPr>
        <w:t>区</w:t>
      </w:r>
      <w:r>
        <w:rPr>
          <w:rFonts w:hint="eastAsia" w:ascii="仿宋" w:hAnsi="仿宋" w:eastAsia="仿宋" w:cs="仿宋"/>
          <w:color w:val="000000"/>
          <w:kern w:val="0"/>
          <w:sz w:val="32"/>
          <w:szCs w:val="32"/>
        </w:rPr>
        <w:t>广大市民优生优育意识，减少出生缺陷发生，</w:t>
      </w:r>
      <w:r>
        <w:rPr>
          <w:rFonts w:hint="eastAsia" w:ascii="仿宋" w:hAnsi="仿宋" w:eastAsia="仿宋" w:cs="仿宋"/>
          <w:color w:val="000000"/>
          <w:kern w:val="0"/>
          <w:sz w:val="32"/>
          <w:szCs w:val="32"/>
          <w:lang w:val="en-US" w:eastAsia="zh-CN"/>
        </w:rPr>
        <w:t>我院实施孕中期免费唐氏筛查，全年共筛查1202人，均进行了跟踪随访。</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6、积极开展艾、梅、乙防控工作。</w:t>
      </w:r>
    </w:p>
    <w:p>
      <w:pPr>
        <w:keepNext w:val="0"/>
        <w:keepLines w:val="0"/>
        <w:pageBreakBefore w:val="0"/>
        <w:widowControl/>
        <w:suppressLineNumbers w:val="0"/>
        <w:kinsoku/>
        <w:overflowPunct/>
        <w:topLinePunct w:val="0"/>
        <w:bidi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认真贯彻《四川省卫生厅关于加强预防艾滋病母婴传播工作实施方案》加强艾滋病、梅毒、乙肝母婴传播工作的宣传教育、人员培训、建立初筛实验室，开展婚前保健、孕前优生健康检查及孕产妇艾滋病、梅毒、乙肝检测和咨询，建立信息管理系统。</w:t>
      </w:r>
      <w:r>
        <w:rPr>
          <w:rFonts w:hint="eastAsia" w:ascii="仿宋" w:hAnsi="仿宋" w:eastAsia="仿宋" w:cs="仿宋"/>
          <w:color w:val="auto"/>
          <w:sz w:val="32"/>
          <w:szCs w:val="32"/>
        </w:rPr>
        <w:t>艾滋病专项检测以及艾梅乙项目检测</w:t>
      </w:r>
      <w:r>
        <w:rPr>
          <w:rFonts w:hint="eastAsia" w:ascii="仿宋" w:hAnsi="仿宋" w:eastAsia="仿宋" w:cs="仿宋"/>
          <w:color w:val="auto"/>
          <w:sz w:val="32"/>
          <w:szCs w:val="32"/>
          <w:lang w:val="en-US" w:eastAsia="zh-CN"/>
        </w:rPr>
        <w:t>3392</w:t>
      </w:r>
      <w:r>
        <w:rPr>
          <w:rFonts w:hint="eastAsia" w:ascii="仿宋" w:hAnsi="仿宋" w:eastAsia="仿宋" w:cs="仿宋"/>
          <w:color w:val="auto"/>
          <w:sz w:val="32"/>
          <w:szCs w:val="32"/>
        </w:rPr>
        <w:t>人次 。初次保健孕妇数</w:t>
      </w:r>
      <w:r>
        <w:rPr>
          <w:rFonts w:hint="eastAsia" w:ascii="仿宋" w:hAnsi="仿宋" w:eastAsia="仿宋" w:cs="仿宋"/>
          <w:color w:val="auto"/>
          <w:sz w:val="32"/>
          <w:szCs w:val="32"/>
          <w:lang w:val="en-US" w:eastAsia="zh-CN"/>
        </w:rPr>
        <w:t>873</w:t>
      </w:r>
      <w:r>
        <w:rPr>
          <w:rFonts w:hint="eastAsia" w:ascii="仿宋" w:hAnsi="仿宋" w:eastAsia="仿宋" w:cs="仿宋"/>
          <w:color w:val="auto"/>
          <w:sz w:val="32"/>
          <w:szCs w:val="32"/>
        </w:rPr>
        <w:t>人次，艾梅乙检测人数</w:t>
      </w:r>
      <w:r>
        <w:rPr>
          <w:rFonts w:hint="eastAsia" w:ascii="仿宋" w:hAnsi="仿宋" w:eastAsia="仿宋" w:cs="仿宋"/>
          <w:color w:val="auto"/>
          <w:sz w:val="32"/>
          <w:szCs w:val="32"/>
          <w:lang w:val="en-US" w:eastAsia="zh-CN"/>
        </w:rPr>
        <w:t>873</w:t>
      </w:r>
      <w:r>
        <w:rPr>
          <w:rFonts w:hint="eastAsia" w:ascii="仿宋" w:hAnsi="仿宋" w:eastAsia="仿宋" w:cs="仿宋"/>
          <w:color w:val="auto"/>
          <w:sz w:val="32"/>
          <w:szCs w:val="32"/>
        </w:rPr>
        <w:t>人，检测率100%，孕早期艾梅乙检测人数</w:t>
      </w:r>
      <w:r>
        <w:rPr>
          <w:rFonts w:hint="eastAsia" w:ascii="仿宋" w:hAnsi="仿宋" w:eastAsia="仿宋" w:cs="仿宋"/>
          <w:color w:val="auto"/>
          <w:sz w:val="32"/>
          <w:szCs w:val="32"/>
          <w:lang w:val="en-US" w:eastAsia="zh-CN"/>
        </w:rPr>
        <w:t>802</w:t>
      </w:r>
      <w:r>
        <w:rPr>
          <w:rFonts w:hint="eastAsia" w:ascii="仿宋" w:hAnsi="仿宋" w:eastAsia="仿宋" w:cs="仿宋"/>
          <w:color w:val="auto"/>
          <w:sz w:val="32"/>
          <w:szCs w:val="32"/>
        </w:rPr>
        <w:t>人次，孕早期检测率91.</w:t>
      </w:r>
      <w:r>
        <w:rPr>
          <w:rFonts w:hint="eastAsia" w:ascii="仿宋" w:hAnsi="仿宋" w:eastAsia="仿宋" w:cs="仿宋"/>
          <w:color w:val="auto"/>
          <w:sz w:val="32"/>
          <w:szCs w:val="32"/>
          <w:lang w:val="en-US" w:eastAsia="zh-CN"/>
        </w:rPr>
        <w:t>87</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全区艾滋病感染孕产妇</w:t>
      </w:r>
      <w:r>
        <w:rPr>
          <w:rFonts w:hint="eastAsia" w:ascii="仿宋" w:hAnsi="仿宋" w:eastAsia="仿宋" w:cs="仿宋"/>
          <w:color w:val="auto"/>
          <w:sz w:val="32"/>
          <w:szCs w:val="32"/>
          <w:lang w:val="en-US" w:eastAsia="zh-CN"/>
        </w:rPr>
        <w:t xml:space="preserve"> 1 名，其所生婴儿抗艾滋病毒用药率在100%，满6月龄儿童早诊率100%，全区HIV感染育龄妇女27名，在管在治27名，管理率100%</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三、</w:t>
      </w:r>
      <w:r>
        <w:rPr>
          <w:rFonts w:hint="eastAsia" w:ascii="仿宋" w:hAnsi="仿宋" w:eastAsia="仿宋" w:cs="仿宋"/>
          <w:b/>
          <w:bCs w:val="0"/>
          <w:sz w:val="32"/>
          <w:szCs w:val="32"/>
        </w:rPr>
        <w:t>妇女保健</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、加强健康</w:t>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"http://www.850500.com/xuexiaojiaoyu/" \t "_blank"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教育</w:t>
      </w:r>
      <w:r>
        <w:rPr>
          <w:rFonts w:hint="eastAsia" w:ascii="仿宋" w:hAnsi="仿宋" w:eastAsia="仿宋" w:cs="仿宋"/>
          <w:b/>
          <w:bCs/>
          <w:sz w:val="32"/>
          <w:szCs w:val="32"/>
        </w:rPr>
        <w:fldChar w:fldCharType="end"/>
      </w:r>
      <w:r>
        <w:rPr>
          <w:rFonts w:hint="eastAsia" w:ascii="仿宋" w:hAnsi="仿宋" w:eastAsia="仿宋" w:cs="仿宋"/>
          <w:b/>
          <w:bCs/>
          <w:sz w:val="32"/>
          <w:szCs w:val="32"/>
        </w:rPr>
        <w:t>工作，普及妇幼保健知识</w:t>
      </w:r>
      <w:r>
        <w:rPr>
          <w:rFonts w:hint="eastAsia" w:ascii="仿宋" w:hAnsi="仿宋" w:eastAsia="仿宋" w:cs="仿宋"/>
          <w:b/>
          <w:bCs/>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我院制定了详细的健康教育</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"http://www.850500.com/fanwendaquan/gongzuojihua/"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计划</w:t>
      </w:r>
      <w:r>
        <w:rPr>
          <w:rFonts w:hint="eastAsia" w:ascii="仿宋" w:hAnsi="仿宋" w:eastAsia="仿宋" w:cs="仿宋"/>
          <w:sz w:val="32"/>
          <w:szCs w:val="32"/>
        </w:rPr>
        <w:fldChar w:fldCharType="end"/>
      </w:r>
      <w:r>
        <w:rPr>
          <w:rFonts w:hint="eastAsia" w:ascii="仿宋" w:hAnsi="仿宋" w:eastAsia="仿宋" w:cs="仿宋"/>
          <w:sz w:val="32"/>
          <w:szCs w:val="32"/>
        </w:rPr>
        <w:t>，通过微信服务平台定期推送妇幼保健知识，利用LED</w:t>
      </w:r>
      <w:r>
        <w:rPr>
          <w:rFonts w:hint="eastAsia" w:ascii="仿宋" w:hAnsi="仿宋" w:eastAsia="仿宋" w:cs="仿宋"/>
          <w:sz w:val="32"/>
          <w:szCs w:val="32"/>
          <w:lang w:eastAsia="zh-CN"/>
        </w:rPr>
        <w:t>显示屏</w:t>
      </w:r>
      <w:r>
        <w:rPr>
          <w:rFonts w:hint="eastAsia" w:ascii="仿宋" w:hAnsi="仿宋" w:eastAsia="仿宋" w:cs="仿宋"/>
          <w:sz w:val="32"/>
          <w:szCs w:val="32"/>
        </w:rPr>
        <w:t>、版面、标语、宣传单、宣传手册，宣传保健、优生优育、安全分娩、母乳喂养和预防艾滋病母婴传播等知识，提高群众自我保健意识和自觉利用妇幼保健服务能力。</w:t>
      </w:r>
    </w:p>
    <w:p>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lang w:val="en-US" w:eastAsia="zh-CN"/>
        </w:rPr>
        <w:t>2</w:t>
      </w:r>
      <w:r>
        <w:rPr>
          <w:rFonts w:hint="eastAsia" w:ascii="仿宋" w:hAnsi="仿宋" w:eastAsia="仿宋" w:cs="仿宋"/>
          <w:b/>
          <w:bCs/>
          <w:color w:val="000000"/>
          <w:kern w:val="0"/>
          <w:sz w:val="32"/>
          <w:szCs w:val="32"/>
        </w:rPr>
        <w:t>、普及两癌筛查，提高妇女健康水平</w:t>
      </w:r>
      <w:r>
        <w:rPr>
          <w:rFonts w:hint="eastAsia" w:ascii="仿宋" w:hAnsi="仿宋" w:eastAsia="仿宋" w:cs="仿宋"/>
          <w:b/>
          <w:bC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为进一步提升妇女群众健康意识,普及防癌科普知识,做到早发现、早诊断、早治疗，提高妇女身体健康的目的,针对我</w:t>
      </w:r>
      <w:r>
        <w:rPr>
          <w:rFonts w:hint="eastAsia" w:ascii="仿宋" w:hAnsi="仿宋" w:eastAsia="仿宋" w:cs="仿宋"/>
          <w:color w:val="000000"/>
          <w:kern w:val="0"/>
          <w:sz w:val="32"/>
          <w:szCs w:val="32"/>
          <w:lang w:val="en-US" w:eastAsia="zh-CN"/>
        </w:rPr>
        <w:t>区</w:t>
      </w:r>
      <w:r>
        <w:rPr>
          <w:rFonts w:hint="eastAsia" w:ascii="仿宋" w:hAnsi="仿宋" w:eastAsia="仿宋" w:cs="仿宋"/>
          <w:color w:val="000000"/>
          <w:kern w:val="0"/>
          <w:sz w:val="32"/>
          <w:szCs w:val="32"/>
        </w:rPr>
        <w:t>农村妇女对宫颈癌、乳房癌的认知缺陷，我院深入各乡镇在妇女群众中开展宣传、摸底、调查、登记、筛查等工作。大力宣传妇女健康知识和“两癌”预防知识，认真向群众讲解“两癌”免费筛查的意义、方法和流程。提高了农村妇女对“两癌”的认识和参检意识。</w:t>
      </w:r>
      <w:r>
        <w:rPr>
          <w:rFonts w:hint="eastAsia" w:ascii="仿宋" w:hAnsi="仿宋" w:eastAsia="仿宋" w:cs="仿宋"/>
          <w:bCs/>
          <w:sz w:val="32"/>
          <w:szCs w:val="32"/>
          <w:lang w:val="en-US" w:eastAsia="zh-CN"/>
        </w:rPr>
        <w:t>农村妇女两癌筛查，完成2560例，完成任务106.6%</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3、积极开展妇女病普查普治工作。</w:t>
      </w:r>
    </w:p>
    <w:p>
      <w:pPr>
        <w:pStyle w:val="2"/>
        <w:autoSpaceDE w:val="0"/>
        <w:spacing w:line="590" w:lineRule="exact"/>
        <w:ind w:firstLine="320" w:firstLineChars="100"/>
        <w:rPr>
          <w:rFonts w:hint="eastAsia" w:ascii="仿宋" w:hAnsi="仿宋" w:eastAsia="仿宋" w:cs="仿宋"/>
          <w:color w:val="000000" w:themeColor="text1"/>
          <w:sz w:val="30"/>
          <w:szCs w:val="30"/>
          <w:lang w:eastAsia="zh-CN"/>
        </w:rPr>
      </w:pPr>
      <w:r>
        <w:rPr>
          <w:rFonts w:hint="eastAsia" w:ascii="仿宋" w:hAnsi="仿宋" w:eastAsia="仿宋" w:cs="仿宋"/>
          <w:bCs/>
          <w:sz w:val="32"/>
          <w:szCs w:val="32"/>
          <w:lang w:val="en-US" w:eastAsia="zh-CN"/>
        </w:rPr>
        <w:t>妇女是重要的劳动资源，是经济建设的主力军，国家一直给予相应的保护政策。我院坚持一年一度妇女病普查普治工作，2020年为全区妇女进行了妇女病普查普治。</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Cs/>
          <w:sz w:val="32"/>
          <w:szCs w:val="32"/>
          <w:lang w:val="en-US" w:eastAsia="zh-CN"/>
        </w:rPr>
        <w:t>经过相应的规范治疗，妇女整体健康状况得到明显改善。</w:t>
      </w:r>
    </w:p>
    <w:p>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Cs/>
          <w:sz w:val="32"/>
          <w:szCs w:val="32"/>
        </w:rPr>
      </w:pPr>
      <w:r>
        <w:rPr>
          <w:rFonts w:hint="eastAsia" w:ascii="仿宋" w:hAnsi="仿宋" w:eastAsia="仿宋" w:cs="仿宋"/>
          <w:b/>
          <w:bCs w:val="0"/>
          <w:sz w:val="32"/>
          <w:szCs w:val="32"/>
          <w:lang w:eastAsia="zh-CN"/>
        </w:rPr>
        <w:t>四、</w:t>
      </w:r>
      <w:r>
        <w:rPr>
          <w:rFonts w:hint="eastAsia" w:ascii="仿宋" w:hAnsi="仿宋" w:eastAsia="仿宋" w:cs="仿宋"/>
          <w:b/>
          <w:bCs w:val="0"/>
          <w:sz w:val="32"/>
          <w:szCs w:val="32"/>
        </w:rPr>
        <w:t>儿童保健</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开展新生儿疾病筛查，提高出生人口素质。开展新生儿疾病筛查工作是预防孩子智能和体格发育落后，提高人口素质的一项有效措施。根据省卫生厅《四川省新生儿疾病筛查管理办法》和《关于扩大新生儿疾病筛查范围的实施方案》，组织辖区内助产机构开展新生儿疾病筛查，组织相关医疗机构的产科医务人员参加业务培训，重点抓好采血质量、可疑病人召回、追踪随访，做到早发现、早诊断、早治疗，促进患儿早日康复，进一步提高我区人口素质。2020年全区新生儿筛查748例 ，辖区机构内活产761人次，筛查率98.89%（新筛率应达95%）。</w:t>
      </w:r>
    </w:p>
    <w:p>
      <w:pPr>
        <w:keepNext w:val="0"/>
        <w:keepLines w:val="0"/>
        <w:pageBreakBefore w:val="0"/>
        <w:numPr>
          <w:ilvl w:val="0"/>
          <w:numId w:val="0"/>
        </w:numPr>
        <w:kinsoku/>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五</w:t>
      </w:r>
      <w:r>
        <w:rPr>
          <w:rFonts w:hint="eastAsia" w:ascii="仿宋" w:hAnsi="仿宋" w:eastAsia="仿宋" w:cs="仿宋"/>
          <w:b/>
          <w:bCs w:val="0"/>
          <w:sz w:val="32"/>
          <w:szCs w:val="32"/>
        </w:rPr>
        <w:t>、计划生育保健</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认真做好</w:t>
      </w:r>
      <w:r>
        <w:rPr>
          <w:rFonts w:hint="eastAsia" w:ascii="仿宋" w:hAnsi="仿宋" w:eastAsia="仿宋" w:cs="仿宋"/>
          <w:bCs/>
          <w:sz w:val="32"/>
          <w:szCs w:val="32"/>
        </w:rPr>
        <w:t>避孕药具管理工作。</w:t>
      </w:r>
      <w:r>
        <w:rPr>
          <w:rFonts w:hint="eastAsia" w:ascii="仿宋" w:hAnsi="仿宋" w:eastAsia="仿宋" w:cs="仿宋"/>
          <w:bCs/>
          <w:sz w:val="32"/>
          <w:szCs w:val="32"/>
          <w:lang w:val="en-US" w:eastAsia="zh-CN"/>
        </w:rPr>
        <w:t>通过在广场、宾馆、医院等人流量大的地方设置自动避孕药具发放机，不定期到场镇进行宣传发放避孕药具登方式让育龄群众知晓并自愿接受避孕节育，优生优育知识，避免意外怀孕减少身体伤害。全年共发放避孕药具5万余人次。</w:t>
      </w:r>
    </w:p>
    <w:p>
      <w:pPr>
        <w:numPr>
          <w:ilvl w:val="0"/>
          <w:numId w:val="0"/>
        </w:numPr>
        <w:ind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 xml:space="preserve">六、对口支援工作 </w:t>
      </w:r>
      <w:r>
        <w:rPr>
          <w:rFonts w:hint="eastAsia" w:ascii="仿宋" w:hAnsi="仿宋" w:eastAsia="仿宋" w:cs="仿宋"/>
          <w:bCs/>
          <w:sz w:val="32"/>
          <w:szCs w:val="32"/>
          <w:lang w:val="en-US" w:eastAsia="zh-CN"/>
        </w:rPr>
        <w:t xml:space="preserve"> </w:t>
      </w:r>
    </w:p>
    <w:p>
      <w:pPr>
        <w:numPr>
          <w:ilvl w:val="0"/>
          <w:numId w:val="0"/>
        </w:num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按《四川省城乡医疗卫机构对口支援管理办法》工作要求，总结2018、2019年的对口支援工作经验，今年以来，我院通过支援单位骨干医师长期派驻、定期义诊、专业知识讲座、骨干医师培训、全区公卫业务培训等多种形式相结合的方式针对性的开展帮扶工作。先后多次派遣业务骨干人员共计10余人到支援单位盐亭县妇幼保健院学习，在盐亭县妇幼保健院技术支持下，新开设儿童保健科，新开展了儿童生长发育监测、视力保健、口腔保健等服务，为我院开展妇幼保健工作打下坚实的基础。 2018-2020年在对口支援专家的精心指导下，进一步规范我院管理，提升我院综合实力，使我院的医疗卫生服务水平再上一个新台阶。</w:t>
      </w:r>
    </w:p>
    <w:p>
      <w:pPr>
        <w:pStyle w:val="2"/>
        <w:rPr>
          <w:rFonts w:hint="eastAsia"/>
          <w:lang w:val="en-US" w:eastAsia="zh-CN"/>
        </w:rPr>
      </w:pPr>
    </w:p>
    <w:p>
      <w:pPr>
        <w:pStyle w:val="4"/>
        <w:rPr>
          <w:rStyle w:val="2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pPr>
        <w:pageBreakBefore w:val="0"/>
        <w:kinsoku/>
        <w:overflowPunct/>
        <w:topLinePunct w:val="0"/>
        <w:bidi w:val="0"/>
        <w:snapToGrid w:val="0"/>
        <w:spacing w:line="360" w:lineRule="auto"/>
        <w:ind w:firstLine="640" w:firstLineChars="200"/>
        <w:rPr>
          <w:rFonts w:hint="eastAsia" w:ascii="仿宋" w:hAnsi="仿宋" w:eastAsia="仿宋" w:cs="仿宋"/>
          <w:bCs/>
          <w:color w:val="000000"/>
          <w:sz w:val="32"/>
          <w:szCs w:val="32"/>
          <w:highlight w:val="none"/>
          <w:lang w:eastAsia="zh-CN"/>
        </w:rPr>
      </w:pPr>
      <w:r>
        <w:rPr>
          <w:rFonts w:hint="eastAsia" w:ascii="仿宋" w:hAnsi="仿宋" w:eastAsia="仿宋" w:cs="仿宋"/>
          <w:sz w:val="32"/>
          <w:szCs w:val="32"/>
        </w:rPr>
        <w:t>本单位为</w:t>
      </w:r>
      <w:r>
        <w:rPr>
          <w:rFonts w:hint="eastAsia" w:ascii="仿宋" w:hAnsi="仿宋" w:eastAsia="仿宋" w:cs="仿宋"/>
          <w:sz w:val="32"/>
          <w:szCs w:val="32"/>
          <w:u w:val="none"/>
          <w:lang w:val="en-US" w:eastAsia="zh-CN"/>
        </w:rPr>
        <w:t>广安市前锋区卫生健康局</w:t>
      </w:r>
      <w:r>
        <w:rPr>
          <w:rFonts w:hint="eastAsia" w:ascii="仿宋" w:hAnsi="仿宋" w:eastAsia="仿宋" w:cs="仿宋"/>
          <w:sz w:val="32"/>
          <w:szCs w:val="32"/>
        </w:rPr>
        <w:t>所属</w:t>
      </w:r>
      <w:r>
        <w:rPr>
          <w:rFonts w:hint="eastAsia" w:ascii="仿宋" w:hAnsi="仿宋" w:eastAsia="仿宋" w:cs="仿宋"/>
          <w:sz w:val="32"/>
          <w:szCs w:val="32"/>
          <w:u w:val="none"/>
          <w:lang w:val="en-US" w:eastAsia="zh-CN"/>
        </w:rPr>
        <w:t>一</w:t>
      </w:r>
      <w:r>
        <w:rPr>
          <w:rFonts w:hint="eastAsia" w:ascii="仿宋" w:hAnsi="仿宋" w:eastAsia="仿宋" w:cs="仿宋"/>
          <w:sz w:val="32"/>
          <w:szCs w:val="32"/>
        </w:rPr>
        <w:t>级预算单位，单位性质为</w:t>
      </w:r>
      <w:r>
        <w:rPr>
          <w:rFonts w:hint="eastAsia" w:ascii="仿宋" w:hAnsi="仿宋" w:eastAsia="仿宋" w:cs="仿宋"/>
          <w:sz w:val="32"/>
          <w:szCs w:val="32"/>
          <w:u w:val="none"/>
          <w:lang w:val="en-US" w:eastAsia="zh-CN"/>
        </w:rPr>
        <w:t>财政补助事业单位，</w:t>
      </w:r>
      <w:r>
        <w:rPr>
          <w:rFonts w:hint="eastAsia" w:ascii="仿宋" w:hAnsi="仿宋" w:eastAsia="仿宋" w:cs="仿宋"/>
          <w:sz w:val="32"/>
          <w:szCs w:val="32"/>
        </w:rPr>
        <w:t>纳入本套决算编制范围的独立核算单位共</w:t>
      </w:r>
      <w:r>
        <w:rPr>
          <w:rFonts w:hint="eastAsia" w:ascii="仿宋" w:hAnsi="仿宋" w:eastAsia="仿宋" w:cs="仿宋"/>
          <w:sz w:val="32"/>
          <w:szCs w:val="32"/>
          <w:u w:val="single"/>
          <w:lang w:val="en-US" w:eastAsia="zh-CN"/>
        </w:rPr>
        <w:t xml:space="preserve"> 1 </w:t>
      </w:r>
      <w:r>
        <w:rPr>
          <w:rFonts w:hint="eastAsia" w:ascii="仿宋" w:hAnsi="仿宋" w:eastAsia="仿宋" w:cs="仿宋"/>
          <w:sz w:val="32"/>
          <w:szCs w:val="32"/>
        </w:rPr>
        <w:t>个</w:t>
      </w:r>
      <w:r>
        <w:rPr>
          <w:rFonts w:hint="eastAsia" w:ascii="仿宋" w:hAnsi="仿宋" w:eastAsia="仿宋" w:cs="仿宋"/>
          <w:sz w:val="32"/>
          <w:szCs w:val="32"/>
          <w:lang w:eastAsia="zh-CN"/>
        </w:rPr>
        <w:t>，</w:t>
      </w:r>
      <w:r>
        <w:rPr>
          <w:rFonts w:hint="eastAsia" w:ascii="仿宋" w:hAnsi="仿宋" w:eastAsia="仿宋" w:cs="仿宋"/>
          <w:sz w:val="32"/>
          <w:szCs w:val="32"/>
        </w:rPr>
        <w:t>比上年增减</w:t>
      </w:r>
      <w:r>
        <w:rPr>
          <w:rFonts w:hint="eastAsia" w:ascii="仿宋" w:hAnsi="仿宋" w:eastAsia="仿宋" w:cs="仿宋"/>
          <w:sz w:val="32"/>
          <w:szCs w:val="32"/>
          <w:u w:val="single"/>
          <w:lang w:val="en-US" w:eastAsia="zh-CN"/>
        </w:rPr>
        <w:t xml:space="preserve"> 0 </w:t>
      </w:r>
      <w:r>
        <w:rPr>
          <w:rFonts w:hint="eastAsia" w:ascii="仿宋" w:hAnsi="仿宋" w:eastAsia="仿宋" w:cs="仿宋"/>
          <w:sz w:val="32"/>
          <w:szCs w:val="32"/>
        </w:rPr>
        <w:t>个</w:t>
      </w:r>
      <w:r>
        <w:rPr>
          <w:rFonts w:hint="eastAsia" w:ascii="仿宋" w:hAnsi="仿宋" w:eastAsia="仿宋" w:cs="仿宋"/>
          <w:sz w:val="32"/>
          <w:szCs w:val="32"/>
          <w:lang w:eastAsia="zh-CN"/>
        </w:rPr>
        <w:t>。</w:t>
      </w:r>
    </w:p>
    <w:p>
      <w:pPr>
        <w:pageBreakBefore w:val="0"/>
        <w:kinsoku/>
        <w:overflowPunct/>
        <w:topLinePunct w:val="0"/>
        <w:bidi w:val="0"/>
        <w:ind w:firstLine="640" w:firstLineChars="200"/>
        <w:rPr>
          <w:rFonts w:hint="eastAsia" w:ascii="仿宋" w:hAnsi="仿宋" w:eastAsia="仿宋"/>
          <w:sz w:val="32"/>
          <w:szCs w:val="32"/>
          <w:lang w:val="en-US" w:eastAsia="zh-CN"/>
        </w:rPr>
      </w:pPr>
      <w:r>
        <w:rPr>
          <w:rFonts w:hint="eastAsia" w:ascii="仿宋" w:hAnsi="仿宋" w:eastAsia="仿宋" w:cs="仿宋"/>
          <w:color w:val="0C0C0C"/>
          <w:sz w:val="32"/>
          <w:szCs w:val="32"/>
          <w:lang w:eastAsia="zh-CN"/>
        </w:rPr>
        <w:t>前</w:t>
      </w:r>
      <w:r>
        <w:rPr>
          <w:rFonts w:hint="eastAsia" w:ascii="仿宋" w:hAnsi="仿宋" w:eastAsia="仿宋" w:cs="仿宋"/>
          <w:color w:val="0C0C0C"/>
          <w:sz w:val="32"/>
          <w:szCs w:val="32"/>
        </w:rPr>
        <w:t>锋区妇幼保健计划生育服务中心设办公室、门诊部、住院部、护理部、妇幼和生殖保健服务科、药械管理科和医疗技术科。编制</w:t>
      </w:r>
      <w:r>
        <w:rPr>
          <w:rFonts w:hint="eastAsia" w:ascii="仿宋" w:hAnsi="仿宋" w:eastAsia="仿宋" w:cs="仿宋"/>
          <w:color w:val="0C0C0C"/>
          <w:sz w:val="32"/>
          <w:szCs w:val="32"/>
          <w:lang w:val="en-US" w:eastAsia="zh-CN"/>
        </w:rPr>
        <w:t>34</w:t>
      </w:r>
      <w:r>
        <w:rPr>
          <w:rFonts w:hint="eastAsia" w:ascii="仿宋" w:hAnsi="仿宋" w:eastAsia="仿宋" w:cs="仿宋"/>
          <w:color w:val="0C0C0C"/>
          <w:sz w:val="32"/>
          <w:szCs w:val="32"/>
        </w:rPr>
        <w:t>人，其中：事业编制</w:t>
      </w:r>
      <w:r>
        <w:rPr>
          <w:rFonts w:hint="eastAsia" w:ascii="仿宋" w:hAnsi="仿宋" w:eastAsia="仿宋" w:cs="仿宋"/>
          <w:color w:val="0C0C0C"/>
          <w:sz w:val="32"/>
          <w:szCs w:val="32"/>
          <w:lang w:val="en-US" w:eastAsia="zh-CN"/>
        </w:rPr>
        <w:t>34</w:t>
      </w:r>
      <w:r>
        <w:rPr>
          <w:rFonts w:hint="eastAsia" w:ascii="仿宋" w:hAnsi="仿宋" w:eastAsia="仿宋" w:cs="仿宋"/>
          <w:color w:val="0C0C0C"/>
          <w:sz w:val="32"/>
          <w:szCs w:val="32"/>
        </w:rPr>
        <w:t>人，在编在岗实有人数2</w:t>
      </w:r>
      <w:r>
        <w:rPr>
          <w:rFonts w:hint="eastAsia" w:ascii="仿宋" w:hAnsi="仿宋" w:eastAsia="仿宋" w:cs="仿宋"/>
          <w:color w:val="0C0C0C"/>
          <w:sz w:val="32"/>
          <w:szCs w:val="32"/>
          <w:lang w:val="en-US" w:eastAsia="zh-CN"/>
        </w:rPr>
        <w:t>7</w:t>
      </w:r>
      <w:r>
        <w:rPr>
          <w:rFonts w:hint="eastAsia" w:ascii="仿宋" w:hAnsi="仿宋" w:eastAsia="仿宋" w:cs="仿宋"/>
          <w:color w:val="0C0C0C"/>
          <w:sz w:val="32"/>
          <w:szCs w:val="32"/>
        </w:rPr>
        <w:t>人。</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6"/>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Style w:val="26"/>
          <w:rFonts w:hint="eastAsia" w:ascii="黑体" w:hAnsi="黑体" w:eastAsia="黑体"/>
          <w:b w:val="0"/>
          <w:bCs w:val="0"/>
          <w:lang w:eastAsia="zh-CN"/>
        </w:rPr>
        <w:t>2020年</w:t>
      </w:r>
      <w:r>
        <w:rPr>
          <w:rStyle w:val="26"/>
          <w:rFonts w:hint="eastAsia" w:ascii="黑体" w:hAnsi="黑体" w:eastAsia="黑体"/>
          <w:b w:val="0"/>
          <w:bCs w:val="0"/>
        </w:rPr>
        <w:t>度部门决算情况说明</w:t>
      </w:r>
      <w:bookmarkEnd w:id="22"/>
      <w:bookmarkEnd w:id="23"/>
    </w:p>
    <w:p/>
    <w:p>
      <w:pPr>
        <w:pStyle w:val="25"/>
        <w:numPr>
          <w:ilvl w:val="0"/>
          <w:numId w:val="1"/>
        </w:numPr>
        <w:spacing w:line="600" w:lineRule="exact"/>
        <w:ind w:firstLineChars="0"/>
        <w:outlineLvl w:val="1"/>
        <w:rPr>
          <w:rStyle w:val="27"/>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2020年</w:t>
      </w:r>
      <w:r>
        <w:rPr>
          <w:rFonts w:hint="eastAsia" w:ascii="仿宋" w:hAnsi="仿宋" w:eastAsia="仿宋"/>
          <w:color w:val="000000"/>
          <w:sz w:val="32"/>
          <w:szCs w:val="32"/>
        </w:rPr>
        <w:t>度收、支总计</w:t>
      </w:r>
      <w:r>
        <w:rPr>
          <w:rFonts w:hint="eastAsia" w:ascii="仿宋" w:hAnsi="仿宋" w:eastAsia="仿宋"/>
          <w:color w:val="000000"/>
          <w:sz w:val="32"/>
          <w:szCs w:val="32"/>
          <w:lang w:val="en-US" w:eastAsia="zh-CN"/>
        </w:rPr>
        <w:t>605.82</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2019年</w:t>
      </w:r>
      <w:r>
        <w:rPr>
          <w:rFonts w:hint="eastAsia" w:ascii="仿宋" w:hAnsi="仿宋" w:eastAsia="仿宋"/>
          <w:color w:val="000000"/>
          <w:sz w:val="32"/>
          <w:szCs w:val="32"/>
        </w:rPr>
        <w:t>相比，收、支总计增加</w:t>
      </w:r>
      <w:r>
        <w:rPr>
          <w:rFonts w:hint="eastAsia" w:ascii="仿宋" w:hAnsi="仿宋" w:eastAsia="仿宋"/>
          <w:color w:val="000000"/>
          <w:sz w:val="32"/>
          <w:szCs w:val="32"/>
          <w:lang w:val="en-US" w:eastAsia="zh-CN"/>
        </w:rPr>
        <w:t>45.61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8.14</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是增加了基本公共卫生服务支出。</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pStyle w:val="2"/>
      </w:pPr>
      <w:r>
        <w:drawing>
          <wp:anchor distT="0" distB="0" distL="114300" distR="114300" simplePos="0" relativeHeight="251659264" behindDoc="1" locked="0" layoutInCell="1" allowOverlap="1">
            <wp:simplePos x="0" y="0"/>
            <wp:positionH relativeFrom="column">
              <wp:posOffset>311150</wp:posOffset>
            </wp:positionH>
            <wp:positionV relativeFrom="paragraph">
              <wp:posOffset>123190</wp:posOffset>
            </wp:positionV>
            <wp:extent cx="4572000" cy="2743200"/>
            <wp:effectExtent l="4445" t="4445" r="14605" b="146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pStyle w:val="25"/>
        <w:numPr>
          <w:ilvl w:val="0"/>
          <w:numId w:val="1"/>
        </w:numPr>
        <w:spacing w:line="600" w:lineRule="exact"/>
        <w:ind w:firstLineChars="0"/>
        <w:outlineLvl w:val="1"/>
        <w:rPr>
          <w:rStyle w:val="27"/>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t>2020年</w:t>
      </w:r>
      <w:r>
        <w:rPr>
          <w:rFonts w:hint="eastAsia" w:ascii="仿宋" w:hAnsi="仿宋" w:eastAsia="仿宋"/>
          <w:color w:val="000000"/>
          <w:sz w:val="32"/>
          <w:szCs w:val="32"/>
        </w:rPr>
        <w:t>本年收入合计</w:t>
      </w:r>
      <w:r>
        <w:rPr>
          <w:rFonts w:hint="eastAsia" w:ascii="仿宋" w:hAnsi="仿宋" w:eastAsia="仿宋"/>
          <w:color w:val="000000"/>
          <w:sz w:val="32"/>
          <w:szCs w:val="32"/>
          <w:lang w:val="en-US" w:eastAsia="zh-CN"/>
        </w:rPr>
        <w:t>605.82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562.8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43.02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7.1</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pStyle w:val="2"/>
        <w:rPr>
          <w:rFonts w:hint="eastAsia" w:ascii="仿宋" w:hAnsi="仿宋" w:eastAsia="仿宋"/>
          <w:color w:val="000000" w:themeColor="text1"/>
          <w:sz w:val="32"/>
          <w:szCs w:val="32"/>
        </w:rPr>
      </w:pPr>
      <w:r>
        <w:drawing>
          <wp:anchor distT="0" distB="0" distL="114300" distR="114300" simplePos="0" relativeHeight="251660288" behindDoc="0" locked="0" layoutInCell="1" allowOverlap="1">
            <wp:simplePos x="0" y="0"/>
            <wp:positionH relativeFrom="column">
              <wp:posOffset>377190</wp:posOffset>
            </wp:positionH>
            <wp:positionV relativeFrom="paragraph">
              <wp:posOffset>12065</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25"/>
        <w:numPr>
          <w:ilvl w:val="0"/>
          <w:numId w:val="1"/>
        </w:numPr>
        <w:spacing w:line="600" w:lineRule="exact"/>
        <w:ind w:firstLineChars="0"/>
        <w:outlineLvl w:val="1"/>
        <w:rPr>
          <w:rStyle w:val="27"/>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hint="eastAsia" w:ascii="仿宋" w:hAnsi="仿宋" w:eastAsia="仿宋"/>
          <w:color w:val="000000"/>
          <w:sz w:val="32"/>
          <w:szCs w:val="32"/>
          <w:lang w:eastAsia="zh-CN"/>
        </w:rPr>
        <w:t>2020年</w:t>
      </w:r>
      <w:r>
        <w:rPr>
          <w:rFonts w:hint="eastAsia" w:ascii="仿宋" w:hAnsi="仿宋" w:eastAsia="仿宋"/>
          <w:color w:val="000000"/>
          <w:sz w:val="32"/>
          <w:szCs w:val="32"/>
        </w:rPr>
        <w:t>本年支出合计</w:t>
      </w:r>
      <w:r>
        <w:rPr>
          <w:rFonts w:hint="eastAsia" w:ascii="仿宋" w:hAnsi="仿宋" w:eastAsia="仿宋"/>
          <w:color w:val="000000"/>
          <w:sz w:val="32"/>
          <w:szCs w:val="32"/>
          <w:lang w:val="en-US" w:eastAsia="zh-CN"/>
        </w:rPr>
        <w:t>605.82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478.26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78.94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127.56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21.06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1312" behindDoc="0" locked="0" layoutInCell="1" allowOverlap="1">
            <wp:simplePos x="0" y="0"/>
            <wp:positionH relativeFrom="column">
              <wp:posOffset>350520</wp:posOffset>
            </wp:positionH>
            <wp:positionV relativeFrom="paragraph">
              <wp:posOffset>143510</wp:posOffset>
            </wp:positionV>
            <wp:extent cx="4572000" cy="2743200"/>
            <wp:effectExtent l="4445" t="4445" r="14605" b="1460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pStyle w:val="2"/>
        <w:rPr>
          <w:rFonts w:ascii="仿宋_GB2312" w:eastAsia="仿宋_GB2312"/>
          <w:color w:val="FF0000"/>
          <w:sz w:val="32"/>
          <w:szCs w:val="32"/>
        </w:rPr>
      </w:pPr>
    </w:p>
    <w:p>
      <w:pPr>
        <w:spacing w:line="600" w:lineRule="exact"/>
        <w:ind w:firstLine="640" w:firstLineChars="200"/>
        <w:outlineLvl w:val="1"/>
        <w:rPr>
          <w:rStyle w:val="27"/>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2020年</w:t>
      </w:r>
      <w:r>
        <w:rPr>
          <w:rFonts w:hint="eastAsia" w:ascii="仿宋" w:hAnsi="仿宋" w:eastAsia="仿宋"/>
          <w:color w:val="000000"/>
          <w:sz w:val="32"/>
          <w:szCs w:val="32"/>
        </w:rPr>
        <w:t>财政拨款收、支总计</w:t>
      </w:r>
      <w:r>
        <w:rPr>
          <w:rFonts w:hint="eastAsia" w:ascii="仿宋" w:hAnsi="仿宋" w:eastAsia="仿宋"/>
          <w:color w:val="000000"/>
          <w:sz w:val="32"/>
          <w:szCs w:val="32"/>
          <w:lang w:val="en-US" w:eastAsia="zh-CN"/>
        </w:rPr>
        <w:t>562.8</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2019年</w:t>
      </w:r>
      <w:r>
        <w:rPr>
          <w:rFonts w:hint="eastAsia" w:ascii="仿宋" w:hAnsi="仿宋" w:eastAsia="仿宋"/>
          <w:color w:val="000000"/>
          <w:sz w:val="32"/>
          <w:szCs w:val="32"/>
        </w:rPr>
        <w:t>相比，财政拨款收、支总计增加</w:t>
      </w:r>
      <w:r>
        <w:rPr>
          <w:rFonts w:hint="eastAsia" w:ascii="仿宋" w:hAnsi="仿宋" w:eastAsia="仿宋"/>
          <w:color w:val="000000"/>
          <w:sz w:val="32"/>
          <w:szCs w:val="32"/>
          <w:lang w:val="en-US" w:eastAsia="zh-CN"/>
        </w:rPr>
        <w:t>90.64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19.2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增加了基本公共卫生服务支出。</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600" w:lineRule="exact"/>
        <w:ind w:firstLine="640"/>
        <w:rPr>
          <w:rFonts w:ascii="仿宋" w:hAnsi="仿宋" w:eastAsia="仿宋"/>
          <w:b/>
          <w:color w:val="00B050"/>
          <w:sz w:val="32"/>
          <w:szCs w:val="32"/>
        </w:rPr>
      </w:pPr>
      <w:r>
        <w:drawing>
          <wp:anchor distT="0" distB="0" distL="114300" distR="114300" simplePos="0" relativeHeight="251662336" behindDoc="0" locked="0" layoutInCell="1" allowOverlap="1">
            <wp:simplePos x="0" y="0"/>
            <wp:positionH relativeFrom="column">
              <wp:posOffset>363220</wp:posOffset>
            </wp:positionH>
            <wp:positionV relativeFrom="paragraph">
              <wp:posOffset>86995</wp:posOffset>
            </wp:positionV>
            <wp:extent cx="4572000" cy="2743200"/>
            <wp:effectExtent l="4445" t="4445" r="1460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ascii="仿宋" w:hAnsi="仿宋" w:eastAsia="仿宋"/>
          <w:b/>
          <w:color w:val="00B050"/>
          <w:sz w:val="32"/>
          <w:szCs w:val="32"/>
        </w:rPr>
      </w:pPr>
    </w:p>
    <w:p>
      <w:pPr>
        <w:pStyle w:val="2"/>
        <w:rPr>
          <w:rFonts w:ascii="仿宋" w:hAnsi="仿宋" w:eastAsia="仿宋"/>
          <w:b/>
          <w:color w:val="00B050"/>
          <w:sz w:val="32"/>
          <w:szCs w:val="32"/>
        </w:rPr>
      </w:pPr>
    </w:p>
    <w:p>
      <w:pPr>
        <w:pStyle w:val="2"/>
        <w:rPr>
          <w:rFonts w:ascii="仿宋" w:hAnsi="仿宋" w:eastAsia="仿宋"/>
          <w:b/>
          <w:color w:val="00B050"/>
          <w:sz w:val="32"/>
          <w:szCs w:val="32"/>
        </w:rPr>
      </w:pPr>
    </w:p>
    <w:p>
      <w:pPr>
        <w:pStyle w:val="2"/>
        <w:rPr>
          <w:rFonts w:ascii="仿宋" w:hAnsi="仿宋" w:eastAsia="仿宋"/>
          <w:b/>
          <w:color w:val="00B050"/>
          <w:sz w:val="32"/>
          <w:szCs w:val="32"/>
        </w:rPr>
      </w:pPr>
    </w:p>
    <w:p>
      <w:pPr>
        <w:pStyle w:val="2"/>
        <w:rPr>
          <w:rFonts w:hint="eastAsia" w:ascii="仿宋" w:hAnsi="仿宋" w:eastAsia="仿宋"/>
          <w:b/>
          <w:color w:val="00B050"/>
          <w:sz w:val="32"/>
          <w:szCs w:val="32"/>
          <w:lang w:eastAsia="zh-CN"/>
        </w:rPr>
      </w:pPr>
    </w:p>
    <w:p>
      <w:pPr>
        <w:pStyle w:val="2"/>
        <w:rPr>
          <w:rFonts w:hint="eastAsia" w:ascii="仿宋" w:hAnsi="仿宋" w:eastAsia="仿宋"/>
          <w:b/>
          <w:color w:val="00B050"/>
          <w:sz w:val="32"/>
          <w:szCs w:val="32"/>
          <w:lang w:eastAsia="zh-CN"/>
        </w:rPr>
      </w:pPr>
    </w:p>
    <w:p>
      <w:pPr>
        <w:pStyle w:val="2"/>
        <w:rPr>
          <w:rFonts w:hint="eastAsia" w:ascii="仿宋" w:hAnsi="仿宋" w:eastAsia="仿宋"/>
          <w:b/>
          <w:color w:val="00B050"/>
          <w:sz w:val="32"/>
          <w:szCs w:val="32"/>
          <w:lang w:eastAsia="zh-CN"/>
        </w:rPr>
      </w:pPr>
    </w:p>
    <w:p>
      <w:pPr>
        <w:pStyle w:val="2"/>
        <w:rPr>
          <w:rFonts w:hint="eastAsia" w:ascii="仿宋" w:hAnsi="仿宋" w:eastAsia="仿宋"/>
          <w:b/>
          <w:color w:val="00B050"/>
          <w:sz w:val="32"/>
          <w:szCs w:val="32"/>
          <w:lang w:eastAsia="zh-CN"/>
        </w:rPr>
      </w:pPr>
    </w:p>
    <w:p>
      <w:pPr>
        <w:pStyle w:val="2"/>
        <w:rPr>
          <w:rFonts w:hint="eastAsia" w:ascii="仿宋" w:hAnsi="仿宋" w:eastAsia="仿宋"/>
          <w:b/>
          <w:color w:val="00B050"/>
          <w:sz w:val="32"/>
          <w:szCs w:val="32"/>
          <w:lang w:eastAsia="zh-CN"/>
        </w:rPr>
      </w:pPr>
    </w:p>
    <w:p>
      <w:pPr>
        <w:pStyle w:val="2"/>
        <w:rPr>
          <w:rFonts w:ascii="仿宋" w:hAnsi="仿宋" w:eastAsia="仿宋"/>
          <w:b/>
          <w:color w:val="00B050"/>
          <w:sz w:val="32"/>
          <w:szCs w:val="32"/>
        </w:rPr>
      </w:pPr>
    </w:p>
    <w:p>
      <w:pPr>
        <w:spacing w:line="600" w:lineRule="exact"/>
        <w:ind w:firstLine="640" w:firstLineChars="200"/>
        <w:outlineLvl w:val="1"/>
        <w:rPr>
          <w:rStyle w:val="27"/>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2020年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562.8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92.9</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2019年</w:t>
      </w:r>
      <w:r>
        <w:rPr>
          <w:rFonts w:hint="eastAsia" w:ascii="仿宋" w:hAnsi="仿宋" w:eastAsia="仿宋"/>
          <w:color w:val="000000"/>
          <w:sz w:val="32"/>
          <w:szCs w:val="32"/>
        </w:rPr>
        <w:t>相比，一般公共预算财政拨款增加</w:t>
      </w:r>
      <w:r>
        <w:rPr>
          <w:rFonts w:hint="eastAsia" w:ascii="仿宋" w:hAnsi="仿宋" w:eastAsia="仿宋"/>
          <w:color w:val="000000"/>
          <w:sz w:val="32"/>
          <w:szCs w:val="32"/>
          <w:lang w:val="en-US" w:eastAsia="zh-CN"/>
        </w:rPr>
        <w:t>90.84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19.2</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是人员支出、基本公共卫生服务支出。</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pStyle w:val="2"/>
        <w:rPr>
          <w:rFonts w:hint="eastAsia" w:ascii="仿宋" w:hAnsi="仿宋" w:eastAsia="仿宋"/>
          <w:color w:val="000000" w:themeColor="text1"/>
          <w:sz w:val="32"/>
          <w:szCs w:val="32"/>
        </w:rPr>
      </w:pPr>
      <w:r>
        <w:drawing>
          <wp:anchor distT="0" distB="0" distL="114300" distR="114300" simplePos="0" relativeHeight="251663360" behindDoc="0" locked="0" layoutInCell="1" allowOverlap="1">
            <wp:simplePos x="0" y="0"/>
            <wp:positionH relativeFrom="column">
              <wp:posOffset>536575</wp:posOffset>
            </wp:positionH>
            <wp:positionV relativeFrom="paragraph">
              <wp:posOffset>69850</wp:posOffset>
            </wp:positionV>
            <wp:extent cx="4572000" cy="2743200"/>
            <wp:effectExtent l="4445" t="4445" r="14605" b="1460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hint="eastAsia" w:ascii="仿宋" w:hAnsi="仿宋" w:eastAsia="仿宋"/>
          <w:color w:val="000000" w:themeColor="text1"/>
          <w:sz w:val="32"/>
          <w:szCs w:val="32"/>
        </w:rPr>
      </w:pPr>
    </w:p>
    <w:p>
      <w:pPr>
        <w:pStyle w:val="2"/>
      </w:pPr>
    </w:p>
    <w:p>
      <w:pPr>
        <w:pStyle w:val="2"/>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pStyle w:val="2"/>
        <w:rPr>
          <w:rFonts w:hint="eastAsia"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hint="eastAsia" w:ascii="仿宋" w:hAnsi="仿宋" w:eastAsia="仿宋"/>
          <w:color w:val="000000"/>
          <w:sz w:val="32"/>
          <w:szCs w:val="32"/>
          <w:lang w:eastAsia="zh-CN"/>
        </w:rPr>
        <w:t>2020年</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562.8</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p>
    <w:p>
      <w:pPr>
        <w:pageBreakBefore w:val="0"/>
        <w:kinsoku/>
        <w:overflowPunct/>
        <w:topLinePunct w:val="0"/>
        <w:bidi w:val="0"/>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25.11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4.46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pageBreakBefore w:val="0"/>
        <w:kinsoku/>
        <w:overflowPunct/>
        <w:topLinePunct w:val="0"/>
        <w:bidi w:val="0"/>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lang w:eastAsia="zh-CN"/>
        </w:rPr>
        <w:t>卫生健康</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518.86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92.19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pageBreakBefore w:val="0"/>
        <w:kinsoku/>
        <w:overflowPunct/>
        <w:topLinePunct w:val="0"/>
        <w:bidi w:val="0"/>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lang w:eastAsia="zh-CN"/>
        </w:rPr>
        <w:t>住房保障</w:t>
      </w:r>
      <w:r>
        <w:rPr>
          <w:rFonts w:hint="eastAsia" w:ascii="仿宋" w:hAnsi="仿宋" w:eastAsia="仿宋"/>
          <w:b/>
          <w:color w:val="000000" w:themeColor="text1"/>
          <w:sz w:val="32"/>
          <w:szCs w:val="32"/>
        </w:rPr>
        <w:t>（类）</w:t>
      </w:r>
      <w:r>
        <w:rPr>
          <w:rFonts w:hint="eastAsia" w:ascii="仿宋" w:hAnsi="仿宋" w:eastAsia="仿宋" w:cs="Times New Roman"/>
          <w:color w:val="000000" w:themeColor="text1"/>
          <w:sz w:val="32"/>
          <w:szCs w:val="32"/>
          <w:lang w:eastAsia="zh-CN"/>
        </w:rPr>
        <w:t>支出</w:t>
      </w:r>
      <w:r>
        <w:rPr>
          <w:rFonts w:hint="eastAsia" w:ascii="仿宋" w:hAnsi="仿宋" w:eastAsia="仿宋" w:cs="Times New Roman"/>
          <w:color w:val="000000" w:themeColor="text1"/>
          <w:sz w:val="32"/>
          <w:szCs w:val="32"/>
          <w:lang w:val="en-US" w:eastAsia="zh-CN"/>
        </w:rPr>
        <w:t>18.83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3.35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pStyle w:val="2"/>
        <w:rPr>
          <w:rFonts w:hint="eastAsia"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330200</wp:posOffset>
            </wp:positionH>
            <wp:positionV relativeFrom="paragraph">
              <wp:posOffset>27940</wp:posOffset>
            </wp:positionV>
            <wp:extent cx="4572000" cy="2743200"/>
            <wp:effectExtent l="4445" t="4445" r="14605" b="14605"/>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Style w:val="15"/>
          <w:rFonts w:hint="eastAsia" w:ascii="仿宋" w:hAnsi="仿宋" w:eastAsia="仿宋"/>
          <w:bCs/>
          <w:color w:val="00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lang w:eastAsia="zh-CN"/>
        </w:rPr>
        <w:t>2020年</w:t>
      </w:r>
      <w:r>
        <w:rPr>
          <w:rFonts w:hint="eastAsia" w:ascii="仿宋" w:hAnsi="仿宋" w:eastAsia="仿宋"/>
          <w:b/>
          <w:color w:val="000000" w:themeColor="text1"/>
          <w:sz w:val="32"/>
          <w:szCs w:val="32"/>
        </w:rPr>
        <w:t>一般公共预算支出决算数为</w:t>
      </w:r>
      <w:r>
        <w:rPr>
          <w:rFonts w:hint="eastAsia" w:ascii="仿宋" w:hAnsi="仿宋" w:eastAsia="仿宋"/>
          <w:b/>
          <w:color w:val="000000" w:themeColor="text1"/>
          <w:sz w:val="32"/>
          <w:szCs w:val="32"/>
          <w:lang w:val="en-US" w:eastAsia="zh-CN"/>
        </w:rPr>
        <w:t>562.8</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pageBreakBefore w:val="0"/>
        <w:kinsoku/>
        <w:overflowPunct/>
        <w:topLinePunct w:val="0"/>
        <w:bidi w:val="0"/>
        <w:spacing w:line="600" w:lineRule="exact"/>
        <w:ind w:firstLine="643" w:firstLineChars="200"/>
      </w:pPr>
      <w:r>
        <w:rPr>
          <w:rStyle w:val="15"/>
          <w:rFonts w:ascii="仿宋" w:hAnsi="仿宋" w:eastAsia="仿宋"/>
          <w:bCs/>
          <w:color w:val="auto"/>
          <w:sz w:val="32"/>
          <w:szCs w:val="32"/>
        </w:rPr>
        <w:t>1.</w:t>
      </w:r>
      <w:r>
        <w:rPr>
          <w:rStyle w:val="15"/>
          <w:rFonts w:hint="eastAsia" w:ascii="仿宋" w:hAnsi="仿宋" w:eastAsia="仿宋"/>
          <w:bCs/>
          <w:color w:val="auto"/>
          <w:sz w:val="32"/>
          <w:szCs w:val="32"/>
          <w:lang w:eastAsia="zh-CN"/>
        </w:rPr>
        <w:t>卫生健康支出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公立医院</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其他公立医院支出</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25</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ageBreakBefore w:val="0"/>
        <w:kinsoku/>
        <w:overflowPunct/>
        <w:topLinePunct w:val="0"/>
        <w:bidi w:val="0"/>
        <w:spacing w:line="600" w:lineRule="exact"/>
        <w:ind w:firstLine="643" w:firstLineChars="200"/>
        <w:rPr>
          <w:rFonts w:ascii="仿宋" w:hAnsi="仿宋" w:eastAsia="仿宋"/>
          <w:b/>
          <w:color w:val="auto"/>
          <w:sz w:val="32"/>
          <w:szCs w:val="32"/>
        </w:rPr>
      </w:pPr>
      <w:r>
        <w:rPr>
          <w:rStyle w:val="15"/>
          <w:rFonts w:hint="eastAsia" w:ascii="仿宋" w:hAnsi="仿宋" w:eastAsia="仿宋"/>
          <w:bCs/>
          <w:color w:val="auto"/>
          <w:sz w:val="32"/>
          <w:szCs w:val="32"/>
          <w:lang w:val="en-US" w:eastAsia="zh-CN"/>
        </w:rPr>
        <w:t>2</w:t>
      </w:r>
      <w:r>
        <w:rPr>
          <w:rStyle w:val="15"/>
          <w:rFonts w:ascii="仿宋" w:hAnsi="仿宋" w:eastAsia="仿宋"/>
          <w:bCs/>
          <w:color w:val="auto"/>
          <w:sz w:val="32"/>
          <w:szCs w:val="32"/>
        </w:rPr>
        <w:t>.</w:t>
      </w:r>
      <w:r>
        <w:rPr>
          <w:rStyle w:val="15"/>
          <w:rFonts w:hint="eastAsia" w:ascii="仿宋" w:hAnsi="仿宋" w:eastAsia="仿宋"/>
          <w:bCs/>
          <w:color w:val="auto"/>
          <w:sz w:val="32"/>
          <w:szCs w:val="32"/>
          <w:lang w:eastAsia="zh-CN"/>
        </w:rPr>
        <w:t>卫生健康支出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公共卫生</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基本公共卫生服务</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47.03</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ageBreakBefore w:val="0"/>
        <w:kinsoku/>
        <w:overflowPunct/>
        <w:topLinePunct w:val="0"/>
        <w:bidi w:val="0"/>
        <w:spacing w:line="600" w:lineRule="exact"/>
        <w:ind w:firstLine="643" w:firstLineChars="200"/>
        <w:rPr>
          <w:rStyle w:val="15"/>
          <w:rFonts w:hint="eastAsia" w:ascii="仿宋" w:hAnsi="仿宋" w:eastAsia="仿宋"/>
          <w:b w:val="0"/>
          <w:bCs/>
          <w:color w:val="auto"/>
          <w:sz w:val="32"/>
          <w:szCs w:val="32"/>
        </w:rPr>
      </w:pPr>
      <w:r>
        <w:rPr>
          <w:rStyle w:val="15"/>
          <w:rFonts w:hint="eastAsia" w:ascii="仿宋" w:hAnsi="仿宋" w:eastAsia="仿宋"/>
          <w:bCs/>
          <w:color w:val="auto"/>
          <w:sz w:val="32"/>
          <w:szCs w:val="32"/>
          <w:lang w:val="en-US" w:eastAsia="zh-CN"/>
        </w:rPr>
        <w:t>3</w:t>
      </w:r>
      <w:r>
        <w:rPr>
          <w:rStyle w:val="15"/>
          <w:rFonts w:ascii="仿宋" w:hAnsi="仿宋" w:eastAsia="仿宋"/>
          <w:bCs/>
          <w:color w:val="auto"/>
          <w:sz w:val="32"/>
          <w:szCs w:val="32"/>
        </w:rPr>
        <w:t>.</w:t>
      </w:r>
      <w:r>
        <w:rPr>
          <w:rStyle w:val="15"/>
          <w:rFonts w:hint="eastAsia" w:ascii="仿宋" w:hAnsi="仿宋" w:eastAsia="仿宋"/>
          <w:bCs/>
          <w:color w:val="auto"/>
          <w:sz w:val="32"/>
          <w:szCs w:val="32"/>
          <w:lang w:eastAsia="zh-CN"/>
        </w:rPr>
        <w:t>卫生健康支出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公共卫生</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重大公共卫生专项</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12.17</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ageBreakBefore w:val="0"/>
        <w:kinsoku/>
        <w:overflowPunct/>
        <w:topLinePunct w:val="0"/>
        <w:bidi w:val="0"/>
        <w:spacing w:line="600" w:lineRule="exact"/>
        <w:ind w:firstLine="643" w:firstLineChars="200"/>
        <w:rPr>
          <w:rStyle w:val="15"/>
          <w:rFonts w:hint="eastAsia" w:ascii="仿宋" w:hAnsi="仿宋" w:eastAsia="仿宋"/>
          <w:b w:val="0"/>
          <w:bCs/>
          <w:color w:val="auto"/>
          <w:sz w:val="32"/>
          <w:szCs w:val="32"/>
        </w:rPr>
      </w:pPr>
      <w:r>
        <w:rPr>
          <w:rStyle w:val="15"/>
          <w:rFonts w:hint="eastAsia" w:ascii="仿宋" w:hAnsi="仿宋" w:eastAsia="仿宋"/>
          <w:bCs/>
          <w:color w:val="auto"/>
          <w:sz w:val="32"/>
          <w:szCs w:val="32"/>
          <w:lang w:val="en-US" w:eastAsia="zh-CN"/>
        </w:rPr>
        <w:t>4</w:t>
      </w:r>
      <w:r>
        <w:rPr>
          <w:rStyle w:val="15"/>
          <w:rFonts w:ascii="仿宋" w:hAnsi="仿宋" w:eastAsia="仿宋"/>
          <w:bCs/>
          <w:color w:val="auto"/>
          <w:sz w:val="32"/>
          <w:szCs w:val="32"/>
        </w:rPr>
        <w:t>.</w:t>
      </w:r>
      <w:r>
        <w:rPr>
          <w:rStyle w:val="15"/>
          <w:rFonts w:hint="eastAsia" w:ascii="仿宋" w:hAnsi="仿宋" w:eastAsia="仿宋"/>
          <w:bCs/>
          <w:color w:val="auto"/>
          <w:sz w:val="32"/>
          <w:szCs w:val="32"/>
          <w:lang w:eastAsia="zh-CN"/>
        </w:rPr>
        <w:t>卫生健康支出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公共卫生</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其他公共卫生支出</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50</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ageBreakBefore w:val="0"/>
        <w:kinsoku/>
        <w:overflowPunct/>
        <w:topLinePunct w:val="0"/>
        <w:bidi w:val="0"/>
        <w:spacing w:line="600" w:lineRule="exact"/>
        <w:ind w:firstLine="643" w:firstLineChars="200"/>
        <w:rPr>
          <w:rStyle w:val="15"/>
          <w:rFonts w:hint="eastAsia" w:ascii="仿宋" w:hAnsi="仿宋" w:eastAsia="仿宋"/>
          <w:b w:val="0"/>
          <w:bCs/>
          <w:color w:val="auto"/>
          <w:sz w:val="32"/>
          <w:szCs w:val="32"/>
        </w:rPr>
      </w:pPr>
      <w:r>
        <w:rPr>
          <w:rStyle w:val="15"/>
          <w:rFonts w:hint="eastAsia" w:ascii="仿宋" w:hAnsi="仿宋" w:eastAsia="仿宋"/>
          <w:bCs/>
          <w:color w:val="auto"/>
          <w:sz w:val="32"/>
          <w:szCs w:val="32"/>
          <w:lang w:val="en-US" w:eastAsia="zh-CN"/>
        </w:rPr>
        <w:t>5</w:t>
      </w:r>
      <w:r>
        <w:rPr>
          <w:rStyle w:val="15"/>
          <w:rFonts w:ascii="仿宋" w:hAnsi="仿宋" w:eastAsia="仿宋"/>
          <w:bCs/>
          <w:color w:val="auto"/>
          <w:sz w:val="32"/>
          <w:szCs w:val="32"/>
        </w:rPr>
        <w:t>.</w:t>
      </w:r>
      <w:r>
        <w:rPr>
          <w:rStyle w:val="15"/>
          <w:rFonts w:hint="eastAsia" w:ascii="仿宋" w:hAnsi="仿宋" w:eastAsia="仿宋"/>
          <w:bCs/>
          <w:color w:val="auto"/>
          <w:sz w:val="32"/>
          <w:szCs w:val="32"/>
          <w:lang w:eastAsia="zh-CN"/>
        </w:rPr>
        <w:t>卫生健康支出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计划生育事务</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计划生育机构</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330.78</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ageBreakBefore w:val="0"/>
        <w:kinsoku/>
        <w:overflowPunct/>
        <w:topLinePunct w:val="0"/>
        <w:bidi w:val="0"/>
        <w:spacing w:line="600" w:lineRule="exact"/>
        <w:ind w:firstLine="643" w:firstLineChars="200"/>
        <w:rPr>
          <w:rFonts w:hint="default" w:eastAsia="仿宋"/>
          <w:lang w:val="en-US" w:eastAsia="zh-CN"/>
        </w:rPr>
      </w:pPr>
      <w:r>
        <w:rPr>
          <w:rStyle w:val="15"/>
          <w:rFonts w:hint="eastAsia" w:ascii="仿宋" w:hAnsi="仿宋" w:eastAsia="仿宋"/>
          <w:bCs/>
          <w:color w:val="auto"/>
          <w:sz w:val="32"/>
          <w:szCs w:val="32"/>
          <w:lang w:val="en-US" w:eastAsia="zh-CN"/>
        </w:rPr>
        <w:t>6</w:t>
      </w:r>
      <w:r>
        <w:rPr>
          <w:rStyle w:val="15"/>
          <w:rFonts w:ascii="仿宋" w:hAnsi="仿宋" w:eastAsia="仿宋"/>
          <w:bCs/>
          <w:color w:val="auto"/>
          <w:sz w:val="32"/>
          <w:szCs w:val="32"/>
        </w:rPr>
        <w:t>.</w:t>
      </w:r>
      <w:r>
        <w:rPr>
          <w:rStyle w:val="15"/>
          <w:rFonts w:hint="eastAsia" w:ascii="仿宋" w:hAnsi="仿宋" w:eastAsia="仿宋"/>
          <w:bCs/>
          <w:color w:val="auto"/>
          <w:sz w:val="32"/>
          <w:szCs w:val="32"/>
          <w:lang w:eastAsia="zh-CN"/>
        </w:rPr>
        <w:t>卫生健康支出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计划生育事务</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计划生育服务</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6.12</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ageBreakBefore w:val="0"/>
        <w:kinsoku/>
        <w:overflowPunct/>
        <w:topLinePunct w:val="0"/>
        <w:bidi w:val="0"/>
        <w:spacing w:line="600" w:lineRule="exact"/>
        <w:ind w:firstLine="643" w:firstLineChars="200"/>
        <w:rPr>
          <w:rStyle w:val="15"/>
          <w:rFonts w:hint="eastAsia" w:ascii="仿宋" w:hAnsi="仿宋" w:eastAsia="仿宋"/>
          <w:b w:val="0"/>
          <w:bCs/>
          <w:color w:val="auto"/>
          <w:sz w:val="32"/>
          <w:szCs w:val="32"/>
        </w:rPr>
      </w:pPr>
      <w:r>
        <w:rPr>
          <w:rStyle w:val="15"/>
          <w:rFonts w:hint="eastAsia" w:ascii="仿宋" w:hAnsi="仿宋" w:eastAsia="仿宋"/>
          <w:bCs/>
          <w:color w:val="auto"/>
          <w:sz w:val="32"/>
          <w:szCs w:val="32"/>
          <w:lang w:val="en-US" w:eastAsia="zh-CN"/>
        </w:rPr>
        <w:t>7</w:t>
      </w:r>
      <w:r>
        <w:rPr>
          <w:rStyle w:val="15"/>
          <w:rFonts w:ascii="仿宋" w:hAnsi="仿宋" w:eastAsia="仿宋"/>
          <w:bCs/>
          <w:color w:val="auto"/>
          <w:sz w:val="32"/>
          <w:szCs w:val="32"/>
        </w:rPr>
        <w:t>.</w:t>
      </w:r>
      <w:r>
        <w:rPr>
          <w:rStyle w:val="15"/>
          <w:rFonts w:hint="eastAsia" w:ascii="仿宋" w:hAnsi="仿宋" w:eastAsia="仿宋"/>
          <w:bCs/>
          <w:color w:val="auto"/>
          <w:sz w:val="32"/>
          <w:szCs w:val="32"/>
          <w:lang w:eastAsia="zh-CN"/>
        </w:rPr>
        <w:t>卫生健康支出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计划生育事务</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其他计划生育事务支出</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14.28</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ageBreakBefore w:val="0"/>
        <w:kinsoku/>
        <w:overflowPunct/>
        <w:topLinePunct w:val="0"/>
        <w:bidi w:val="0"/>
        <w:spacing w:line="600" w:lineRule="exact"/>
        <w:ind w:firstLine="643" w:firstLineChars="200"/>
        <w:rPr>
          <w:rStyle w:val="15"/>
          <w:rFonts w:hint="eastAsia" w:ascii="仿宋" w:hAnsi="仿宋" w:eastAsia="仿宋"/>
          <w:b w:val="0"/>
          <w:bCs/>
          <w:color w:val="auto"/>
          <w:sz w:val="32"/>
          <w:szCs w:val="32"/>
        </w:rPr>
      </w:pPr>
      <w:r>
        <w:rPr>
          <w:rStyle w:val="15"/>
          <w:rFonts w:hint="eastAsia" w:ascii="仿宋" w:hAnsi="仿宋" w:eastAsia="仿宋"/>
          <w:bCs/>
          <w:color w:val="auto"/>
          <w:sz w:val="32"/>
          <w:szCs w:val="32"/>
          <w:lang w:val="en-US" w:eastAsia="zh-CN"/>
        </w:rPr>
        <w:t>8</w:t>
      </w:r>
      <w:r>
        <w:rPr>
          <w:rStyle w:val="15"/>
          <w:rFonts w:ascii="仿宋" w:hAnsi="仿宋" w:eastAsia="仿宋"/>
          <w:bCs/>
          <w:color w:val="auto"/>
          <w:sz w:val="32"/>
          <w:szCs w:val="32"/>
        </w:rPr>
        <w:t>.</w:t>
      </w:r>
      <w:r>
        <w:rPr>
          <w:rStyle w:val="15"/>
          <w:rFonts w:hint="eastAsia" w:ascii="仿宋" w:hAnsi="仿宋" w:eastAsia="仿宋"/>
          <w:bCs/>
          <w:color w:val="auto"/>
          <w:sz w:val="32"/>
          <w:szCs w:val="32"/>
          <w:lang w:eastAsia="zh-CN"/>
        </w:rPr>
        <w:t>卫生健康支出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行政事业医疗单位</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事业医疗单位</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13.49</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ageBreakBefore w:val="0"/>
        <w:kinsoku/>
        <w:overflowPunct/>
        <w:topLinePunct w:val="0"/>
        <w:bidi w:val="0"/>
        <w:spacing w:line="600" w:lineRule="exact"/>
        <w:ind w:firstLine="643" w:firstLineChars="200"/>
        <w:rPr>
          <w:rFonts w:hint="eastAsia"/>
        </w:rPr>
      </w:pPr>
      <w:r>
        <w:rPr>
          <w:rStyle w:val="15"/>
          <w:rFonts w:hint="eastAsia" w:ascii="仿宋" w:hAnsi="仿宋" w:eastAsia="仿宋"/>
          <w:bCs/>
          <w:color w:val="auto"/>
          <w:sz w:val="32"/>
          <w:szCs w:val="32"/>
          <w:lang w:val="en-US" w:eastAsia="zh-CN"/>
        </w:rPr>
        <w:t>9.</w:t>
      </w:r>
      <w:r>
        <w:rPr>
          <w:rStyle w:val="15"/>
          <w:rFonts w:hint="eastAsia" w:ascii="仿宋" w:hAnsi="仿宋" w:eastAsia="仿宋"/>
          <w:bCs/>
          <w:color w:val="auto"/>
          <w:sz w:val="32"/>
          <w:szCs w:val="32"/>
          <w:lang w:eastAsia="zh-CN"/>
        </w:rPr>
        <w:t>卫生健康支出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其他卫生健康支出</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其他卫生健康支出</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19.99</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ageBreakBefore w:val="0"/>
        <w:kinsoku/>
        <w:overflowPunct/>
        <w:topLinePunct w:val="0"/>
        <w:bidi w:val="0"/>
        <w:spacing w:line="600" w:lineRule="exact"/>
        <w:ind w:firstLine="643" w:firstLineChars="200"/>
        <w:rPr>
          <w:rFonts w:ascii="仿宋" w:hAnsi="仿宋" w:eastAsia="仿宋"/>
          <w:b/>
          <w:color w:val="auto"/>
          <w:sz w:val="32"/>
          <w:szCs w:val="32"/>
        </w:rPr>
      </w:pPr>
      <w:r>
        <w:rPr>
          <w:rStyle w:val="15"/>
          <w:rFonts w:hint="eastAsia" w:ascii="仿宋" w:hAnsi="仿宋" w:eastAsia="仿宋"/>
          <w:bCs/>
          <w:color w:val="auto"/>
          <w:sz w:val="32"/>
          <w:szCs w:val="32"/>
          <w:lang w:val="en-US" w:eastAsia="zh-CN"/>
        </w:rPr>
        <w:t>10</w:t>
      </w:r>
      <w:r>
        <w:rPr>
          <w:rStyle w:val="15"/>
          <w:rFonts w:ascii="仿宋" w:hAnsi="仿宋" w:eastAsia="仿宋"/>
          <w:bCs/>
          <w:color w:val="auto"/>
          <w:sz w:val="32"/>
          <w:szCs w:val="32"/>
        </w:rPr>
        <w:t>.</w:t>
      </w:r>
      <w:r>
        <w:rPr>
          <w:rStyle w:val="15"/>
          <w:rFonts w:hint="eastAsia" w:ascii="仿宋" w:hAnsi="仿宋" w:eastAsia="仿宋"/>
          <w:bCs/>
          <w:color w:val="auto"/>
          <w:sz w:val="32"/>
          <w:szCs w:val="32"/>
          <w:lang w:eastAsia="zh-CN"/>
        </w:rPr>
        <w:t>社会保障和就业支出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行政事业单位离退休</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机关事业单位基本养老保险缴费支出</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25.11</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ageBreakBefore w:val="0"/>
        <w:kinsoku/>
        <w:overflowPunct/>
        <w:topLinePunct w:val="0"/>
        <w:bidi w:val="0"/>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9.</w:t>
      </w:r>
      <w:r>
        <w:rPr>
          <w:rStyle w:val="15"/>
          <w:rFonts w:hint="eastAsia" w:ascii="仿宋" w:hAnsi="仿宋" w:eastAsia="仿宋"/>
          <w:bCs/>
          <w:color w:val="000000"/>
          <w:sz w:val="32"/>
          <w:szCs w:val="32"/>
          <w:lang w:eastAsia="zh-CN"/>
        </w:rPr>
        <w:t>住房保障支出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住房改革支出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住房公积金</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18.83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7"/>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2020年</w:t>
      </w:r>
      <w:r>
        <w:rPr>
          <w:rFonts w:hint="eastAsia" w:ascii="仿宋" w:hAnsi="仿宋" w:eastAsia="仿宋"/>
          <w:color w:val="000000"/>
          <w:sz w:val="32"/>
          <w:szCs w:val="32"/>
        </w:rPr>
        <w:t>一般公共预算财政拨款基本支出</w:t>
      </w:r>
      <w:r>
        <w:rPr>
          <w:rFonts w:hint="eastAsia" w:ascii="仿宋" w:hAnsi="仿宋" w:eastAsia="仿宋"/>
          <w:color w:val="000000"/>
          <w:sz w:val="32"/>
          <w:szCs w:val="32"/>
          <w:lang w:val="en-US" w:eastAsia="zh-CN"/>
        </w:rPr>
        <w:t>435.25</w:t>
      </w:r>
      <w:r>
        <w:rPr>
          <w:rFonts w:hint="eastAsia" w:ascii="仿宋" w:hAnsi="仿宋" w:eastAsia="仿宋"/>
          <w:color w:val="000000"/>
          <w:sz w:val="32"/>
          <w:szCs w:val="32"/>
        </w:rPr>
        <w:t>万元，其中：</w:t>
      </w:r>
    </w:p>
    <w:p>
      <w:pPr>
        <w:spacing w:line="600" w:lineRule="exact"/>
        <w:ind w:firstLine="640"/>
        <w:rPr>
          <w:rFonts w:ascii="仿宋" w:hAnsi="仿宋" w:eastAsia="仿宋"/>
          <w:b/>
          <w:color w:val="000000" w:themeColor="text1"/>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376.44</w:t>
      </w:r>
      <w:r>
        <w:rPr>
          <w:rFonts w:hint="eastAsia" w:ascii="仿宋" w:hAnsi="仿宋" w:eastAsia="仿宋"/>
          <w:color w:val="000000"/>
          <w:sz w:val="32"/>
          <w:szCs w:val="32"/>
        </w:rPr>
        <w:t>万元，主要包括：基本工资、津贴补贴、奖金、绩效工资、机关事业单位基本养老保险缴费、</w:t>
      </w:r>
      <w:r>
        <w:rPr>
          <w:rFonts w:hint="eastAsia" w:ascii="仿宋" w:hAnsi="仿宋" w:eastAsia="仿宋"/>
          <w:color w:val="000000"/>
          <w:sz w:val="32"/>
          <w:szCs w:val="32"/>
          <w:lang w:eastAsia="zh-CN"/>
        </w:rPr>
        <w:t>行政事业单位医疗</w:t>
      </w:r>
      <w:r>
        <w:rPr>
          <w:rFonts w:hint="eastAsia" w:ascii="仿宋" w:hAnsi="仿宋" w:eastAsia="仿宋"/>
          <w:color w:val="000000"/>
          <w:sz w:val="32"/>
          <w:szCs w:val="32"/>
        </w:rPr>
        <w:t>、其他工资福利支出、抚恤金、住房公积金</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58.81</w:t>
      </w:r>
      <w:r>
        <w:rPr>
          <w:rFonts w:hint="eastAsia" w:ascii="仿宋" w:hAnsi="仿宋" w:eastAsia="仿宋"/>
          <w:color w:val="000000"/>
          <w:sz w:val="32"/>
          <w:szCs w:val="32"/>
        </w:rPr>
        <w:t>万元，主要包括：办公费、印刷费</w:t>
      </w:r>
      <w:r>
        <w:rPr>
          <w:rFonts w:hint="eastAsia" w:ascii="仿宋" w:hAnsi="仿宋" w:eastAsia="仿宋"/>
          <w:color w:val="000000"/>
          <w:sz w:val="32"/>
          <w:szCs w:val="32"/>
          <w:lang w:eastAsia="zh-CN"/>
        </w:rPr>
        <w:t>、</w:t>
      </w:r>
      <w:r>
        <w:rPr>
          <w:rFonts w:hint="eastAsia" w:ascii="仿宋" w:hAnsi="仿宋" w:eastAsia="仿宋"/>
          <w:color w:val="000000"/>
          <w:sz w:val="32"/>
          <w:szCs w:val="32"/>
        </w:rPr>
        <w:t>邮电费、差旅费、维修（护）费、培训费、公务接待费、劳务费、工会经费、</w:t>
      </w:r>
      <w:r>
        <w:rPr>
          <w:rFonts w:hint="eastAsia" w:ascii="仿宋" w:hAnsi="仿宋" w:eastAsia="仿宋"/>
          <w:color w:val="000000"/>
          <w:sz w:val="32"/>
          <w:szCs w:val="32"/>
          <w:lang w:eastAsia="zh-CN"/>
        </w:rPr>
        <w:t>水费</w:t>
      </w:r>
      <w:r>
        <w:rPr>
          <w:rFonts w:hint="eastAsia" w:ascii="仿宋" w:hAnsi="仿宋" w:eastAsia="仿宋"/>
          <w:color w:val="000000"/>
          <w:sz w:val="32"/>
          <w:szCs w:val="32"/>
        </w:rPr>
        <w:t>、</w:t>
      </w:r>
      <w:r>
        <w:rPr>
          <w:rFonts w:hint="eastAsia" w:ascii="仿宋" w:hAnsi="仿宋" w:eastAsia="仿宋"/>
          <w:color w:val="000000"/>
          <w:sz w:val="32"/>
          <w:szCs w:val="32"/>
          <w:lang w:eastAsia="zh-CN"/>
        </w:rPr>
        <w:t>电费、专用材料费、福利费、公务用车维护费、</w:t>
      </w:r>
      <w:r>
        <w:rPr>
          <w:rFonts w:hint="eastAsia" w:ascii="仿宋" w:hAnsi="仿宋" w:eastAsia="仿宋"/>
          <w:color w:val="000000"/>
          <w:sz w:val="32"/>
          <w:szCs w:val="32"/>
        </w:rPr>
        <w:t>其他商品和服务支出等。</w:t>
      </w:r>
    </w:p>
    <w:p>
      <w:pPr>
        <w:spacing w:line="600" w:lineRule="exact"/>
        <w:ind w:firstLine="640"/>
        <w:rPr>
          <w:rFonts w:ascii="仿宋" w:hAnsi="仿宋" w:eastAsia="仿宋"/>
          <w:b/>
          <w:color w:val="FF0000"/>
          <w:sz w:val="32"/>
          <w:szCs w:val="32"/>
        </w:rPr>
      </w:pPr>
    </w:p>
    <w:p>
      <w:pPr>
        <w:spacing w:line="600" w:lineRule="exact"/>
        <w:ind w:firstLine="640"/>
        <w:outlineLvl w:val="1"/>
        <w:rPr>
          <w:rStyle w:val="27"/>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2020年</w:t>
      </w:r>
      <w:r>
        <w:rPr>
          <w:rFonts w:hint="eastAsia" w:ascii="仿宋" w:hAnsi="仿宋" w:eastAsia="仿宋"/>
          <w:color w:val="000000"/>
          <w:sz w:val="32"/>
          <w:szCs w:val="32"/>
        </w:rPr>
        <w:t>“三公”经费财政拨款支出决算为</w:t>
      </w:r>
      <w:r>
        <w:rPr>
          <w:rFonts w:hint="eastAsia" w:ascii="仿宋" w:hAnsi="仿宋" w:eastAsia="仿宋"/>
          <w:color w:val="000000"/>
          <w:sz w:val="32"/>
          <w:szCs w:val="32"/>
          <w:lang w:val="en-US" w:eastAsia="zh-CN"/>
        </w:rPr>
        <w:t>6.1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32.97</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2020年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5.84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95.74</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4.26</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（图8：“三公”经费财政拨款支出结构）</w:t>
      </w:r>
    </w:p>
    <w:p>
      <w:pPr>
        <w:pStyle w:val="2"/>
      </w:pPr>
    </w:p>
    <w:p>
      <w:pPr>
        <w:spacing w:line="600" w:lineRule="exact"/>
        <w:ind w:firstLine="640"/>
        <w:rPr>
          <w:rFonts w:ascii="仿宋_GB2312" w:eastAsia="仿宋_GB2312"/>
          <w:b/>
          <w:color w:val="000000"/>
          <w:sz w:val="32"/>
          <w:szCs w:val="32"/>
        </w:rPr>
      </w:pPr>
      <w:r>
        <w:drawing>
          <wp:anchor distT="0" distB="0" distL="114300" distR="114300" simplePos="0" relativeHeight="251665408" behindDoc="0" locked="0" layoutInCell="1" allowOverlap="1">
            <wp:simplePos x="0" y="0"/>
            <wp:positionH relativeFrom="column">
              <wp:posOffset>353695</wp:posOffset>
            </wp:positionH>
            <wp:positionV relativeFrom="paragraph">
              <wp:posOffset>6985</wp:posOffset>
            </wp:positionV>
            <wp:extent cx="4572000" cy="2530475"/>
            <wp:effectExtent l="4445" t="4445" r="14605" b="17780"/>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5.84</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32.44</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2019年</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0.01</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厉行节约</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5.84</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下乡进行母婴保健法律法规宣传、妇女病普查普治、避孕药具免费发放</w:t>
      </w:r>
      <w:r>
        <w:rPr>
          <w:rFonts w:hint="eastAsia" w:ascii="仿宋_GB2312" w:eastAsia="仿宋_GB2312"/>
          <w:color w:val="000000"/>
          <w:sz w:val="32"/>
          <w:szCs w:val="32"/>
        </w:rPr>
        <w:t>等所需的公务用车燃料费、维修费、过路过桥费、保险费等支出。</w:t>
      </w:r>
    </w:p>
    <w:p>
      <w:pPr>
        <w:pageBreakBefore w:val="0"/>
        <w:kinsoku/>
        <w:overflowPunct/>
        <w:topLinePunct w:val="0"/>
        <w:bidi w:val="0"/>
        <w:spacing w:line="600" w:lineRule="exact"/>
        <w:ind w:firstLine="643" w:firstLineChars="200"/>
        <w:rPr>
          <w:rFonts w:ascii="仿宋" w:hAnsi="仿宋" w:eastAsia="仿宋"/>
          <w:b/>
          <w:bCs/>
          <w:color w:val="C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52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相</w:t>
      </w:r>
      <w:r>
        <w:rPr>
          <w:rFonts w:hint="eastAsia" w:ascii="仿宋_GB2312" w:eastAsia="仿宋_GB2312"/>
          <w:color w:val="000000"/>
          <w:sz w:val="32"/>
          <w:szCs w:val="32"/>
        </w:rPr>
        <w:t>比</w:t>
      </w:r>
      <w:r>
        <w:rPr>
          <w:rFonts w:hint="eastAsia" w:ascii="仿宋_GB2312" w:eastAsia="仿宋_GB2312"/>
          <w:color w:val="000000"/>
          <w:sz w:val="32"/>
          <w:szCs w:val="32"/>
          <w:lang w:eastAsia="zh-CN"/>
        </w:rPr>
        <w:t>2019年持平</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持续开展对口支援帮扶、三病”督导工作、卫健局技术指导</w:t>
      </w:r>
      <w:r>
        <w:rPr>
          <w:rFonts w:hint="eastAsia" w:ascii="仿宋_GB2312" w:eastAsia="仿宋_GB2312"/>
          <w:color w:val="000000"/>
          <w:sz w:val="32"/>
          <w:szCs w:val="32"/>
        </w:rPr>
        <w:t>。</w:t>
      </w:r>
    </w:p>
    <w:p>
      <w:pPr>
        <w:spacing w:line="600" w:lineRule="exact"/>
        <w:ind w:firstLine="640" w:firstLineChars="200"/>
        <w:rPr>
          <w:rFonts w:hint="eastAsia" w:ascii="仿宋" w:hAnsi="仿宋" w:eastAsia="仿宋_GB2312"/>
          <w:b/>
          <w:bCs/>
          <w:color w:val="C00000"/>
          <w:sz w:val="32"/>
          <w:szCs w:val="32"/>
          <w:lang w:eastAsia="zh-CN"/>
        </w:rPr>
      </w:pP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41</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bookmarkStart w:id="46" w:name="_Toc15396610"/>
      <w:bookmarkStart w:id="47" w:name="_Toc15377218"/>
      <w:r>
        <w:rPr>
          <w:rFonts w:hint="eastAsia" w:ascii="仿宋_GB2312" w:eastAsia="仿宋_GB2312"/>
          <w:color w:val="000000"/>
          <w:sz w:val="32"/>
          <w:szCs w:val="32"/>
          <w:lang w:eastAsia="zh-CN"/>
        </w:rPr>
        <w:t>。</w:t>
      </w:r>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2020年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2020年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31"/>
        <w:numPr>
          <w:ilvl w:val="0"/>
          <w:numId w:val="3"/>
        </w:numPr>
        <w:spacing w:line="580" w:lineRule="exact"/>
        <w:ind w:firstLineChars="0"/>
        <w:rPr>
          <w:rFonts w:ascii="仿宋" w:hAnsi="仿宋" w:eastAsia="仿宋" w:cs="楷体_GB2312"/>
          <w:b/>
          <w:bCs/>
          <w:sz w:val="32"/>
          <w:szCs w:val="32"/>
        </w:rPr>
      </w:pPr>
      <w:bookmarkStart w:id="50" w:name="_Toc15377221"/>
      <w:bookmarkStart w:id="51" w:name="_Toc15396612"/>
      <w:r>
        <w:rPr>
          <w:rStyle w:val="27"/>
          <w:rFonts w:hint="eastAsia" w:ascii="黑体" w:hAnsi="黑体" w:eastAsia="黑体" w:cs="黑体"/>
          <w:b w:val="0"/>
        </w:rPr>
        <w:t>预算绩效情况说明</w:t>
      </w:r>
    </w:p>
    <w:p>
      <w:pPr>
        <w:spacing w:line="580" w:lineRule="exact"/>
        <w:rPr>
          <w:rFonts w:ascii="仿宋" w:hAnsi="仿宋" w:eastAsia="仿宋" w:cs="楷体_GB2312"/>
          <w:b/>
          <w:bCs/>
          <w:sz w:val="32"/>
          <w:szCs w:val="32"/>
        </w:rPr>
      </w:pPr>
      <w:r>
        <w:rPr>
          <w:rFonts w:hint="eastAsia" w:ascii="仿宋" w:hAnsi="仿宋" w:eastAsia="仿宋" w:cs="楷体_GB2312"/>
          <w:b/>
          <w:bCs/>
          <w:sz w:val="32"/>
          <w:szCs w:val="32"/>
        </w:rPr>
        <w:t xml:space="preserve">    （一）预算绩效管理工作开展情况。</w:t>
      </w:r>
    </w:p>
    <w:p>
      <w:pPr>
        <w:pageBreakBefore w:val="0"/>
        <w:widowControl/>
        <w:kinsoku/>
        <w:wordWrap w:val="0"/>
        <w:overflowPunct/>
        <w:topLinePunct w:val="0"/>
        <w:bidi w:val="0"/>
        <w:ind w:left="149" w:leftChars="71" w:firstLine="640" w:firstLineChars="200"/>
        <w:jc w:val="left"/>
        <w:textAlignment w:val="bottom"/>
        <w:rPr>
          <w:rFonts w:ascii="仿宋" w:hAnsi="仿宋" w:eastAsia="仿宋" w:cs="楷体_GB2312"/>
          <w:b/>
          <w:bCs/>
          <w:color w:val="C00000"/>
          <w:sz w:val="32"/>
          <w:szCs w:val="32"/>
        </w:rPr>
      </w:pPr>
      <w:r>
        <w:rPr>
          <w:rFonts w:hint="eastAsia" w:ascii="仿宋_GB2312" w:hAnsi="仿宋_GB2312" w:eastAsia="仿宋_GB2312" w:cs="仿宋_GB2312"/>
          <w:sz w:val="32"/>
          <w:szCs w:val="32"/>
        </w:rPr>
        <w:t>根据预算绩效管理要求，本部门（单位）在年初预算编制阶段，组织对免费唐氏筛查项目开展了预算事前绩效评估，对免费唐氏筛查项目编制了绩效目标；预算执行过程开展了绩效监控；年终执行完毕后，对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个项目开展了绩效目标完成情况梳理填报。</w:t>
      </w:r>
    </w:p>
    <w:p>
      <w:pPr>
        <w:pageBreakBefore w:val="0"/>
        <w:kinsoku/>
        <w:overflowPunct/>
        <w:topLinePunct w:val="0"/>
        <w:bidi w:val="0"/>
        <w:spacing w:line="580" w:lineRule="exact"/>
        <w:ind w:firstLine="640" w:firstLineChars="200"/>
        <w:rPr>
          <w:rFonts w:ascii="仿宋" w:hAnsi="仿宋" w:eastAsia="仿宋" w:cs="楷体_GB2312"/>
          <w:b/>
          <w:bCs/>
          <w:color w:val="C00000"/>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en-US" w:eastAsia="zh-CN"/>
        </w:rPr>
        <w:t>我单位整体支出</w:t>
      </w:r>
      <w:r>
        <w:rPr>
          <w:rFonts w:hint="eastAsia" w:ascii="仿宋_GB2312" w:hAnsi="仿宋_GB2312" w:eastAsia="仿宋_GB2312" w:cs="仿宋_GB2312"/>
          <w:sz w:val="32"/>
          <w:szCs w:val="32"/>
          <w:lang w:eastAsia="zh-CN"/>
        </w:rPr>
        <w:t>绩效评查自查结果良好，全年基本支出保证了部门的正常运行和日常工作的正常开展，</w:t>
      </w:r>
      <w:r>
        <w:rPr>
          <w:rFonts w:hint="eastAsia" w:ascii="仿宋_GB2312" w:hAnsi="仿宋_GB2312" w:eastAsia="仿宋_GB2312" w:cs="仿宋_GB2312"/>
          <w:sz w:val="32"/>
          <w:szCs w:val="32"/>
        </w:rPr>
        <w:t>绩效目标得到较好实现，绩效管理水平不断提高，绩效指标体系逐渐丰富和完善。</w:t>
      </w:r>
    </w:p>
    <w:p>
      <w:pPr>
        <w:pageBreakBefore w:val="0"/>
        <w:numPr>
          <w:ilvl w:val="0"/>
          <w:numId w:val="4"/>
        </w:numPr>
        <w:kinsoku/>
        <w:overflowPunct/>
        <w:topLinePunct w:val="0"/>
        <w:bidi w:val="0"/>
        <w:spacing w:line="580" w:lineRule="exact"/>
        <w:ind w:firstLine="643" w:firstLineChars="200"/>
        <w:rPr>
          <w:rFonts w:hint="eastAsia" w:ascii="仿宋" w:hAnsi="仿宋" w:eastAsia="仿宋" w:cs="楷体_GB2312"/>
          <w:b/>
          <w:bCs/>
          <w:sz w:val="32"/>
          <w:szCs w:val="32"/>
        </w:rPr>
      </w:pPr>
      <w:r>
        <w:rPr>
          <w:rFonts w:hint="eastAsia" w:ascii="仿宋" w:hAnsi="仿宋" w:eastAsia="仿宋" w:cs="楷体_GB2312"/>
          <w:b/>
          <w:bCs/>
          <w:sz w:val="32"/>
          <w:szCs w:val="32"/>
        </w:rPr>
        <w:t>项目绩效目标完成情况。</w:t>
      </w:r>
    </w:p>
    <w:p>
      <w:pPr>
        <w:pageBreakBefore w:val="0"/>
        <w:numPr>
          <w:ilvl w:val="0"/>
          <w:numId w:val="0"/>
        </w:numPr>
        <w:kinsoku/>
        <w:overflowPunct/>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年度部门决算中反映免费唐氏筛查项目绩效目标实际完成情况。</w:t>
      </w:r>
    </w:p>
    <w:p>
      <w:pPr>
        <w:pageBreakBefore w:val="0"/>
        <w:kinsoku/>
        <w:overflowPunct/>
        <w:topLinePunct w:val="0"/>
        <w:bidi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免费唐氏筛查项目绩效目标完成情况综述。项目全年预算数</w:t>
      </w:r>
      <w:r>
        <w:rPr>
          <w:rFonts w:hint="eastAsia" w:ascii="仿宋_GB2312" w:hAnsi="仿宋_GB2312" w:eastAsia="仿宋_GB2312" w:cs="仿宋_GB2312"/>
          <w:sz w:val="32"/>
          <w:szCs w:val="32"/>
          <w:lang w:val="en-US" w:eastAsia="zh-CN"/>
        </w:rPr>
        <w:t>6.12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6.12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%。通过项目实施，预防出生缺陷，提高出生人口素质</w:t>
      </w:r>
      <w:r>
        <w:rPr>
          <w:rFonts w:hint="eastAsia" w:ascii="仿宋_GB2312" w:hAnsi="仿宋_GB2312" w:eastAsia="仿宋_GB2312" w:cs="仿宋_GB2312"/>
          <w:sz w:val="32"/>
          <w:szCs w:val="32"/>
          <w:lang w:eastAsia="zh-CN"/>
        </w:rPr>
        <w:t>。</w:t>
      </w:r>
    </w:p>
    <w:p>
      <w:pPr>
        <w:spacing w:line="580" w:lineRule="exact"/>
        <w:ind w:firstLine="64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5"/>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35"/>
              <w:widowControl/>
              <w:ind w:left="4170" w:leftChars="1823" w:hanging="342" w:hangingChars="95"/>
              <w:textAlignment w:val="center"/>
              <w:rPr>
                <w:rFonts w:ascii="宋体" w:hAnsi="宋体" w:cs="宋体"/>
                <w:color w:val="000000"/>
                <w:sz w:val="32"/>
                <w:szCs w:val="32"/>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437"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开展免费唐氏筛查</w:t>
            </w:r>
          </w:p>
        </w:tc>
      </w:tr>
      <w:tr>
        <w:tblPrEx>
          <w:tblCellMar>
            <w:top w:w="0" w:type="dxa"/>
            <w:left w:w="0" w:type="dxa"/>
            <w:bottom w:w="0" w:type="dxa"/>
            <w:right w:w="0" w:type="dxa"/>
          </w:tblCellMar>
        </w:tblPrEx>
        <w:trPr>
          <w:trHeight w:val="682"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前锋区妇幼保健计划生育服务中心</w:t>
            </w:r>
          </w:p>
        </w:tc>
      </w:tr>
      <w:tr>
        <w:tblPrEx>
          <w:tblCellMar>
            <w:top w:w="0" w:type="dxa"/>
            <w:left w:w="0" w:type="dxa"/>
            <w:bottom w:w="0" w:type="dxa"/>
            <w:right w:w="0" w:type="dxa"/>
          </w:tblCellMar>
        </w:tblPrEx>
        <w:trPr>
          <w:trHeight w:val="78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6.12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6.12</w:t>
            </w:r>
          </w:p>
        </w:tc>
      </w:tr>
      <w:tr>
        <w:tblPrEx>
          <w:tblCellMar>
            <w:top w:w="0" w:type="dxa"/>
            <w:left w:w="0" w:type="dxa"/>
            <w:bottom w:w="0" w:type="dxa"/>
            <w:right w:w="0" w:type="dxa"/>
          </w:tblCellMar>
        </w:tblPrEx>
        <w:trPr>
          <w:trHeight w:val="93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ind w:firstLine="440" w:firstLineChars="200"/>
              <w:jc w:val="left"/>
              <w:rPr>
                <w:rFonts w:ascii="宋体" w:hAnsi="宋体" w:cs="宋体"/>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6.12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6.12</w:t>
            </w:r>
          </w:p>
        </w:tc>
      </w:tr>
      <w:tr>
        <w:tblPrEx>
          <w:tblCellMar>
            <w:top w:w="0" w:type="dxa"/>
            <w:left w:w="0" w:type="dxa"/>
            <w:bottom w:w="0" w:type="dxa"/>
            <w:right w:w="0" w:type="dxa"/>
          </w:tblCellMar>
        </w:tblPrEx>
        <w:trPr>
          <w:trHeight w:val="7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ind w:firstLine="440" w:firstLineChars="200"/>
              <w:jc w:val="left"/>
              <w:rPr>
                <w:rFonts w:ascii="宋体" w:hAnsi="宋体" w:cs="宋体"/>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bidi w:val="0"/>
              <w:ind w:firstLine="440" w:firstLineChars="200"/>
              <w:jc w:val="center"/>
              <w:rPr>
                <w:rFonts w:ascii="宋体" w:hAnsi="宋体" w:cs="宋体"/>
                <w:color w:val="000000"/>
                <w:sz w:val="22"/>
                <w:szCs w:val="22"/>
              </w:rPr>
            </w:pPr>
          </w:p>
        </w:tc>
      </w:tr>
      <w:tr>
        <w:tblPrEx>
          <w:tblCellMar>
            <w:top w:w="0" w:type="dxa"/>
            <w:left w:w="0" w:type="dxa"/>
            <w:bottom w:w="0" w:type="dxa"/>
            <w:right w:w="0" w:type="dxa"/>
          </w:tblCellMar>
        </w:tblPrEx>
        <w:trPr>
          <w:trHeight w:val="49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ind w:firstLine="440" w:firstLineChars="200"/>
              <w:jc w:val="left"/>
              <w:rPr>
                <w:rFonts w:ascii="宋体" w:hAnsi="宋体" w:cs="宋体"/>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为预防出生缺陷，减轻患儿出生给家庭和社会带来的极大精神和经济负担，</w:t>
            </w:r>
            <w:r>
              <w:rPr>
                <w:rFonts w:hint="eastAsia" w:ascii="宋体" w:hAnsi="宋体" w:cs="宋体"/>
                <w:color w:val="000000"/>
                <w:sz w:val="22"/>
                <w:szCs w:val="22"/>
                <w:lang w:eastAsia="zh-CN"/>
              </w:rPr>
              <w:t>完成</w:t>
            </w:r>
            <w:r>
              <w:rPr>
                <w:rFonts w:hint="eastAsia" w:ascii="宋体" w:hAnsi="宋体" w:cs="宋体"/>
                <w:color w:val="000000"/>
                <w:sz w:val="22"/>
                <w:szCs w:val="22"/>
              </w:rPr>
              <w:t>辖区内所有孕妇（含流动人口）参检人数</w:t>
            </w:r>
            <w:r>
              <w:rPr>
                <w:rFonts w:hint="eastAsia" w:ascii="宋体" w:hAnsi="宋体" w:cs="宋体"/>
                <w:color w:val="000000"/>
                <w:sz w:val="22"/>
                <w:szCs w:val="22"/>
                <w:lang w:val="en-US" w:eastAsia="zh-CN"/>
              </w:rPr>
              <w:t>1800人。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eastAsia="zh-CN"/>
              </w:rPr>
              <w:t>辖区内所有孕妇（含流动人口）参检人数</w:t>
            </w:r>
            <w:r>
              <w:rPr>
                <w:rFonts w:hint="eastAsia" w:ascii="宋体" w:hAnsi="宋体" w:cs="宋体"/>
                <w:color w:val="000000"/>
                <w:sz w:val="22"/>
                <w:szCs w:val="22"/>
                <w:lang w:val="en-US" w:eastAsia="zh-CN"/>
              </w:rPr>
              <w:t>1809人。</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预期指标值</w:t>
            </w:r>
          </w:p>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实际完成指标值</w:t>
            </w:r>
          </w:p>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ind w:firstLine="440" w:firstLineChars="200"/>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辖区内所有孕妇（含流动人口）参检人数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1800人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1809人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ind w:firstLine="440" w:firstLineChars="200"/>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eastAsia="zh-CN"/>
              </w:rPr>
              <w:t>免费唐氏筛查技术服务落实率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ind w:firstLine="440" w:firstLineChars="200"/>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完成免费唐氏筛查任务时间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2020</w:t>
            </w:r>
            <w:r>
              <w:rPr>
                <w:rFonts w:hint="eastAsia" w:ascii="宋体" w:hAnsi="宋体" w:cs="宋体"/>
                <w:color w:val="000000"/>
                <w:sz w:val="22"/>
                <w:szCs w:val="22"/>
              </w:rPr>
              <w:t>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2020</w:t>
            </w:r>
            <w:r>
              <w:rPr>
                <w:rFonts w:hint="eastAsia" w:ascii="宋体" w:hAnsi="宋体" w:cs="宋体"/>
                <w:color w:val="000000"/>
                <w:sz w:val="22"/>
                <w:szCs w:val="22"/>
              </w:rPr>
              <w:t>年12月31日前</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ind w:firstLine="440" w:firstLineChars="200"/>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人均检查结算标准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170/人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170/人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ind w:firstLine="440" w:firstLineChars="200"/>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产前筛查、产前诊断技术能力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eastAsia="zh-CN"/>
              </w:rPr>
              <w:t>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eastAsia="zh-CN"/>
              </w:rPr>
              <w:t>逐步提高</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ind w:firstLine="440" w:firstLineChars="200"/>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可持续影响</w:t>
            </w:r>
          </w:p>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lang w:eastAsia="zh-CN"/>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出生缺陷发生率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≧9</w:t>
            </w:r>
            <w:r>
              <w:rPr>
                <w:rFonts w:hint="eastAsia" w:ascii="宋体" w:hAnsi="宋体" w:cs="宋体"/>
                <w:color w:val="000000"/>
                <w:sz w:val="22"/>
                <w:szCs w:val="22"/>
                <w:lang w:val="en-US" w:eastAsia="zh-CN"/>
              </w:rPr>
              <w:t>5</w:t>
            </w:r>
            <w:r>
              <w:rPr>
                <w:rFonts w:hint="eastAsia" w:ascii="宋体" w:hAnsi="宋体" w:cs="宋体"/>
                <w:color w:val="000000"/>
                <w:sz w:val="22"/>
                <w:szCs w:val="22"/>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≧9</w:t>
            </w:r>
            <w:r>
              <w:rPr>
                <w:rFonts w:hint="eastAsia" w:ascii="宋体" w:hAnsi="宋体" w:cs="宋体"/>
                <w:color w:val="000000"/>
                <w:sz w:val="22"/>
                <w:szCs w:val="22"/>
                <w:lang w:val="en-US" w:eastAsia="zh-CN"/>
              </w:rPr>
              <w:t>8</w:t>
            </w:r>
            <w:r>
              <w:rPr>
                <w:rFonts w:hint="eastAsia" w:ascii="宋体" w:hAnsi="宋体" w:cs="宋体"/>
                <w:color w:val="000000"/>
                <w:sz w:val="22"/>
                <w:szCs w:val="22"/>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ind w:firstLine="440" w:firstLineChars="200"/>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参检孕妇满意度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≧9</w:t>
            </w:r>
            <w:r>
              <w:rPr>
                <w:rFonts w:hint="eastAsia" w:ascii="宋体" w:hAnsi="宋体" w:cs="宋体"/>
                <w:color w:val="000000"/>
                <w:sz w:val="22"/>
                <w:szCs w:val="22"/>
                <w:lang w:val="en-US" w:eastAsia="zh-CN"/>
              </w:rPr>
              <w:t>5</w:t>
            </w:r>
            <w:r>
              <w:rPr>
                <w:rFonts w:hint="eastAsia" w:ascii="宋体" w:hAnsi="宋体" w:cs="宋体"/>
                <w:color w:val="000000"/>
                <w:sz w:val="22"/>
                <w:szCs w:val="22"/>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bidi w:val="0"/>
              <w:ind w:firstLine="440" w:firstLineChars="200"/>
              <w:jc w:val="center"/>
              <w:textAlignment w:val="center"/>
              <w:rPr>
                <w:rFonts w:ascii="宋体" w:hAnsi="宋体" w:cs="宋体"/>
                <w:color w:val="000000"/>
                <w:sz w:val="22"/>
                <w:szCs w:val="22"/>
              </w:rPr>
            </w:pPr>
            <w:r>
              <w:rPr>
                <w:rFonts w:hint="eastAsia" w:ascii="宋体" w:hAnsi="宋体" w:cs="宋体"/>
                <w:color w:val="000000"/>
                <w:sz w:val="22"/>
                <w:szCs w:val="22"/>
              </w:rPr>
              <w:t>≧9</w:t>
            </w:r>
            <w:r>
              <w:rPr>
                <w:rFonts w:hint="eastAsia" w:ascii="宋体" w:hAnsi="宋体" w:cs="宋体"/>
                <w:color w:val="000000"/>
                <w:sz w:val="22"/>
                <w:szCs w:val="22"/>
                <w:lang w:val="en-US" w:eastAsia="zh-CN"/>
              </w:rPr>
              <w:t>8</w:t>
            </w:r>
            <w:r>
              <w:rPr>
                <w:rFonts w:hint="eastAsia" w:ascii="宋体" w:hAnsi="宋体" w:cs="宋体"/>
                <w:color w:val="000000"/>
                <w:sz w:val="22"/>
                <w:szCs w:val="22"/>
              </w:rPr>
              <w:t>%</w:t>
            </w:r>
          </w:p>
        </w:tc>
      </w:tr>
    </w:tbl>
    <w:p>
      <w:pPr>
        <w:spacing w:line="580" w:lineRule="exact"/>
        <w:rPr>
          <w:rFonts w:hint="eastAsia" w:ascii="仿宋" w:hAnsi="仿宋" w:eastAsia="仿宋" w:cs="楷体_GB2312"/>
          <w:b/>
          <w:bCs/>
          <w:sz w:val="32"/>
          <w:szCs w:val="32"/>
        </w:rPr>
      </w:pPr>
    </w:p>
    <w:p>
      <w:pPr>
        <w:spacing w:line="580" w:lineRule="exact"/>
        <w:rPr>
          <w:rFonts w:ascii="仿宋" w:hAnsi="仿宋" w:eastAsia="仿宋" w:cs="仿宋_GB2312"/>
          <w:sz w:val="32"/>
          <w:szCs w:val="32"/>
        </w:rPr>
      </w:pPr>
      <w:r>
        <w:rPr>
          <w:rFonts w:hint="eastAsia" w:ascii="仿宋" w:hAnsi="仿宋" w:eastAsia="仿宋" w:cs="楷体_GB2312"/>
          <w:b/>
          <w:bCs/>
          <w:sz w:val="32"/>
          <w:szCs w:val="32"/>
        </w:rPr>
        <w:t>（三）部门开展绩效评价结果。</w:t>
      </w:r>
    </w:p>
    <w:p>
      <w:pPr>
        <w:pageBreakBefore w:val="0"/>
        <w:kinsoku/>
        <w:overflowPunct/>
        <w:topLinePunct w:val="0"/>
        <w:bidi w:val="0"/>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前锋区妇幼保健计划生育服务中心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w:t>
      </w:r>
    </w:p>
    <w:p>
      <w:pPr>
        <w:spacing w:line="600" w:lineRule="exact"/>
        <w:ind w:firstLine="800" w:firstLineChars="250"/>
        <w:outlineLvl w:val="1"/>
        <w:rPr>
          <w:rStyle w:val="27"/>
          <w:rFonts w:ascii="黑体" w:hAnsi="黑体" w:eastAsia="黑体"/>
        </w:rPr>
      </w:pPr>
      <w:r>
        <w:rPr>
          <w:rFonts w:hint="eastAsia" w:ascii="黑体" w:hAnsi="黑体" w:eastAsia="黑体"/>
          <w:color w:val="000000"/>
          <w:sz w:val="32"/>
          <w:szCs w:val="32"/>
        </w:rPr>
        <w:t>十</w:t>
      </w:r>
      <w:r>
        <w:rPr>
          <w:rStyle w:val="27"/>
          <w:rFonts w:hint="eastAsia" w:ascii="黑体" w:hAnsi="黑体" w:eastAsia="黑体"/>
        </w:rPr>
        <w:t>一、</w:t>
      </w:r>
      <w:r>
        <w:rPr>
          <w:rStyle w:val="2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sz w:val="32"/>
          <w:szCs w:val="32"/>
          <w:lang w:eastAsia="zh-CN"/>
        </w:rPr>
        <w:t>2020年</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2020年</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93.56</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93.56</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业务用房装饰装修、护士站采购等工作</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93.56</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93.56</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（数据来源财决F03表）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辆，其中：特种专业技术用车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3" w:firstLineChars="150"/>
        <w:jc w:val="center"/>
        <w:outlineLvl w:val="0"/>
        <w:rPr>
          <w:rStyle w:val="26"/>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6"/>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4"/>
        <w:pageBreakBefore w:val="0"/>
        <w:kinsoku/>
        <w:overflowPunct/>
        <w:topLinePunct w:val="0"/>
        <w:bidi w:val="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pageBreakBefore w:val="0"/>
        <w:kinsoku/>
        <w:overflowPunct/>
        <w:topLinePunct w:val="0"/>
        <w:bidi w:val="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4"/>
        <w:pageBreakBefore w:val="0"/>
        <w:kinsoku/>
        <w:overflowPunct/>
        <w:topLinePunct w:val="0"/>
        <w:bidi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4"/>
        <w:pageBreakBefore w:val="0"/>
        <w:kinsoku/>
        <w:overflowPunct/>
        <w:topLinePunct w:val="0"/>
        <w:bidi w:val="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4"/>
        <w:pageBreakBefore w:val="0"/>
        <w:kinsoku/>
        <w:overflowPunct/>
        <w:topLinePunct w:val="0"/>
        <w:bidi w:val="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4"/>
        <w:pageBreakBefore w:val="0"/>
        <w:kinsoku/>
        <w:overflowPunct/>
        <w:topLinePunct w:val="0"/>
        <w:bidi w:val="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4"/>
        <w:pageBreakBefore w:val="0"/>
        <w:kinsoku/>
        <w:overflowPunct/>
        <w:topLinePunct w:val="0"/>
        <w:bidi w:val="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pageBreakBefore w:val="0"/>
        <w:kinsoku/>
        <w:overflowPunct/>
        <w:topLinePunct w:val="0"/>
        <w:bidi w:val="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ageBreakBefore w:val="0"/>
        <w:kinsoku/>
        <w:overflowPunct/>
        <w:topLinePunct w:val="0"/>
        <w:bidi w:val="0"/>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9、卫生健康支出（类）公共卫生（款）基本公共卫生服务（项）:反映基本公共卫生支出。</w:t>
      </w:r>
    </w:p>
    <w:p>
      <w:pPr>
        <w:pageBreakBefore w:val="0"/>
        <w:kinsoku/>
        <w:overflowPunct/>
        <w:topLinePunct w:val="0"/>
        <w:bidi w:val="0"/>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10.卫生健康支出（类）公共卫生（款）重大公共卫生专项（项）:反映重大疾病预防控制等重大公共卫生服务项目支出。</w:t>
      </w:r>
    </w:p>
    <w:p>
      <w:pPr>
        <w:pageBreakBefore w:val="0"/>
        <w:kinsoku/>
        <w:overflowPunct/>
        <w:topLinePunct w:val="0"/>
        <w:bidi w:val="0"/>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11.卫生健康支出（类）公共卫生（款）其他公共支出（项）:反映除上述项目以外的其他用于公共卫生方面的支出。</w:t>
      </w:r>
    </w:p>
    <w:p>
      <w:pPr>
        <w:pageBreakBefore w:val="0"/>
        <w:kinsoku/>
        <w:overflowPunct/>
        <w:topLinePunct w:val="0"/>
        <w:bidi w:val="0"/>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12.卫生健康支出（类）计划生育事务（款）计划生育机构（项）:反映计划生育方面的支出。</w:t>
      </w:r>
    </w:p>
    <w:p>
      <w:pPr>
        <w:pageBreakBefore w:val="0"/>
        <w:kinsoku/>
        <w:overflowPunct/>
        <w:topLinePunct w:val="0"/>
        <w:bidi w:val="0"/>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7.卫生健康支出（类）计划生育事务（款）其他计划生育事务支出（项）:反映除上述项目以外其他用于计划生育管理事务方面的支出。</w:t>
      </w:r>
    </w:p>
    <w:p>
      <w:pPr>
        <w:pageBreakBefore w:val="0"/>
        <w:kinsoku/>
        <w:overflowPunct/>
        <w:topLinePunct w:val="0"/>
        <w:bidi w:val="0"/>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8.卫生健康支出（类）行政事业医疗单位（款）事业医疗单位（项）:反映财政部门安排的事业单位基本医疗保险缴费经费，未参加医疗保险的事业单位的公费医疗经费，按国家规定享受离休人员待遇的医疗经费。</w:t>
      </w:r>
    </w:p>
    <w:p>
      <w:pPr>
        <w:pageBreakBefore w:val="0"/>
        <w:kinsoku/>
        <w:overflowPunct/>
        <w:topLinePunct w:val="0"/>
        <w:bidi w:val="0"/>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9.社会保障和就业支出（类）行政事业单位离退休（款）机关事业单位基本养老保险缴费支出（项）: </w:t>
      </w:r>
      <w:r>
        <w:rPr>
          <w:rFonts w:hint="eastAsia" w:ascii="仿宋_GB2312" w:eastAsia="仿宋_GB2312"/>
          <w:color w:val="000000"/>
          <w:sz w:val="32"/>
          <w:szCs w:val="32"/>
          <w:lang w:eastAsia="zh-CN"/>
        </w:rPr>
        <w:t>反映机关事业单位实施养老保险制度由单位缴纳的基本养老保险费支出</w:t>
      </w:r>
      <w:r>
        <w:rPr>
          <w:rFonts w:hint="eastAsia" w:ascii="仿宋_GB2312" w:eastAsia="仿宋_GB2312"/>
          <w:color w:val="000000"/>
          <w:sz w:val="32"/>
          <w:szCs w:val="32"/>
        </w:rPr>
        <w:t>。</w:t>
      </w:r>
    </w:p>
    <w:p>
      <w:pPr>
        <w:pageBreakBefore w:val="0"/>
        <w:kinsoku/>
        <w:overflowPunct/>
        <w:topLinePunct w:val="0"/>
        <w:bidi w:val="0"/>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10.住房保障支出（类）住房改革支出（款）住房公积金（项）: </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p>
    <w:p>
      <w:pPr>
        <w:pageBreakBefore w:val="0"/>
        <w:kinsoku/>
        <w:overflowPunct/>
        <w:topLinePunct w:val="0"/>
        <w:bidi w:val="0"/>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p>
    <w:p>
      <w:pPr>
        <w:pageBreakBefore w:val="0"/>
        <w:kinsoku/>
        <w:overflowPunct/>
        <w:topLinePunct w:val="0"/>
        <w:bidi w:val="0"/>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pageBreakBefore w:val="0"/>
        <w:kinsoku/>
        <w:overflowPunct/>
        <w:topLinePunct w:val="0"/>
        <w:bidi w:val="0"/>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pageBreakBefore w:val="0"/>
        <w:kinsoku/>
        <w:overflowPunct/>
        <w:topLinePunct w:val="0"/>
        <w:bidi w:val="0"/>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ascii="仿宋_GB2312" w:eastAsia="仿宋_GB2312"/>
          <w:sz w:val="32"/>
          <w:szCs w:val="32"/>
        </w:rPr>
      </w:pPr>
    </w:p>
    <w:p>
      <w:pPr>
        <w:pStyle w:val="24"/>
        <w:spacing w:line="560" w:lineRule="exact"/>
        <w:ind w:firstLine="640" w:firstLineChars="200"/>
        <w:rPr>
          <w:rFonts w:ascii="仿宋_GB2312" w:eastAsia="仿宋_GB2312" w:cs="黑体"/>
          <w:sz w:val="32"/>
          <w:szCs w:val="32"/>
        </w:rPr>
      </w:pPr>
    </w:p>
    <w:p>
      <w:pPr>
        <w:spacing w:line="600" w:lineRule="exact"/>
        <w:jc w:val="center"/>
        <w:outlineLvl w:val="0"/>
        <w:rPr>
          <w:rStyle w:val="26"/>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8"/>
    </w:p>
    <w:p>
      <w:pPr>
        <w:spacing w:line="600" w:lineRule="exact"/>
        <w:jc w:val="center"/>
        <w:outlineLvl w:val="0"/>
        <w:rPr>
          <w:rStyle w:val="26"/>
        </w:rPr>
      </w:pPr>
    </w:p>
    <w:p>
      <w:pPr>
        <w:pageBreakBefore w:val="0"/>
        <w:kinsoku/>
        <w:overflowPunct/>
        <w:topLinePunct w:val="0"/>
        <w:bidi w:val="0"/>
        <w:spacing w:line="600" w:lineRule="exact"/>
        <w:ind w:firstLine="1080" w:firstLineChars="300"/>
        <w:jc w:val="both"/>
        <w:outlineLvl w:val="0"/>
        <w:rPr>
          <w:rFonts w:hint="eastAsia" w:ascii="黑体" w:hAnsi="黑体" w:eastAsia="黑体" w:cs="方正小标宋简体"/>
          <w:sz w:val="36"/>
          <w:szCs w:val="36"/>
          <w:lang w:eastAsia="zh-CN"/>
        </w:rPr>
      </w:pPr>
      <w:bookmarkStart w:id="59" w:name="_Toc15396616"/>
      <w:r>
        <w:rPr>
          <w:rFonts w:hint="eastAsia" w:ascii="黑体" w:hAnsi="黑体" w:eastAsia="黑体" w:cs="方正小标宋简体"/>
          <w:sz w:val="36"/>
          <w:szCs w:val="36"/>
          <w:lang w:eastAsia="zh-CN"/>
        </w:rPr>
        <w:t>广安市前锋区妇幼保健计划生育服务中心</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lang w:eastAsia="zh-CN"/>
        </w:rPr>
        <w:t>2020年</w:t>
      </w:r>
      <w:r>
        <w:rPr>
          <w:rFonts w:hint="eastAsia" w:ascii="黑体" w:hAnsi="黑体" w:eastAsia="黑体" w:cs="方正小标宋简体"/>
          <w:sz w:val="36"/>
          <w:szCs w:val="36"/>
        </w:rPr>
        <w:t>部门整体支出绩效评价报告</w:t>
      </w:r>
      <w:bookmarkEnd w:id="59"/>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pageBreakBefore w:val="0"/>
        <w:kinsoku/>
        <w:overflowPunct/>
        <w:topLinePunct w:val="0"/>
        <w:bidi w:val="0"/>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pageBreakBefore w:val="0"/>
        <w:kinsoku/>
        <w:overflowPunct/>
        <w:topLinePunct w:val="0"/>
        <w:bidi w:val="0"/>
        <w:snapToGrid w:val="0"/>
        <w:spacing w:line="360" w:lineRule="auto"/>
        <w:ind w:firstLine="640" w:firstLineChars="200"/>
        <w:rPr>
          <w:rFonts w:hint="eastAsia" w:ascii="仿宋" w:hAnsi="仿宋" w:eastAsia="仿宋" w:cs="仿宋"/>
          <w:bCs/>
          <w:color w:val="000000"/>
          <w:sz w:val="32"/>
          <w:szCs w:val="32"/>
          <w:highlight w:val="none"/>
          <w:lang w:eastAsia="zh-CN"/>
        </w:rPr>
      </w:pPr>
      <w:r>
        <w:rPr>
          <w:rFonts w:hint="eastAsia" w:ascii="仿宋" w:hAnsi="仿宋" w:eastAsia="仿宋" w:cs="仿宋"/>
          <w:sz w:val="32"/>
          <w:szCs w:val="32"/>
        </w:rPr>
        <w:t>本单位为</w:t>
      </w:r>
      <w:r>
        <w:rPr>
          <w:rFonts w:hint="eastAsia" w:ascii="仿宋" w:hAnsi="仿宋" w:eastAsia="仿宋" w:cs="仿宋"/>
          <w:sz w:val="32"/>
          <w:szCs w:val="32"/>
          <w:u w:val="none"/>
          <w:lang w:val="en-US" w:eastAsia="zh-CN"/>
        </w:rPr>
        <w:t>广安市前锋区卫生健康局</w:t>
      </w:r>
      <w:r>
        <w:rPr>
          <w:rFonts w:hint="eastAsia" w:ascii="仿宋" w:hAnsi="仿宋" w:eastAsia="仿宋" w:cs="仿宋"/>
          <w:sz w:val="32"/>
          <w:szCs w:val="32"/>
        </w:rPr>
        <w:t>所属</w:t>
      </w:r>
      <w:r>
        <w:rPr>
          <w:rFonts w:hint="eastAsia" w:ascii="仿宋" w:hAnsi="仿宋" w:eastAsia="仿宋" w:cs="仿宋"/>
          <w:sz w:val="32"/>
          <w:szCs w:val="32"/>
          <w:u w:val="none"/>
          <w:lang w:val="en-US" w:eastAsia="zh-CN"/>
        </w:rPr>
        <w:t>一</w:t>
      </w:r>
      <w:r>
        <w:rPr>
          <w:rFonts w:hint="eastAsia" w:ascii="仿宋" w:hAnsi="仿宋" w:eastAsia="仿宋" w:cs="仿宋"/>
          <w:sz w:val="32"/>
          <w:szCs w:val="32"/>
        </w:rPr>
        <w:t>级预算单位，单位性质为</w:t>
      </w:r>
      <w:r>
        <w:rPr>
          <w:rFonts w:hint="eastAsia" w:ascii="仿宋" w:hAnsi="仿宋" w:eastAsia="仿宋" w:cs="仿宋"/>
          <w:sz w:val="32"/>
          <w:szCs w:val="32"/>
          <w:u w:val="none"/>
          <w:lang w:val="en-US" w:eastAsia="zh-CN"/>
        </w:rPr>
        <w:t>财政补助事业单位，</w:t>
      </w:r>
      <w:r>
        <w:rPr>
          <w:rFonts w:hint="eastAsia" w:ascii="仿宋" w:hAnsi="仿宋" w:eastAsia="仿宋" w:cs="仿宋"/>
          <w:sz w:val="32"/>
          <w:szCs w:val="32"/>
        </w:rPr>
        <w:t>纳入本套决算编制范围的独立核算单位共</w:t>
      </w:r>
      <w:r>
        <w:rPr>
          <w:rFonts w:hint="eastAsia" w:ascii="仿宋" w:hAnsi="仿宋" w:eastAsia="仿宋" w:cs="仿宋"/>
          <w:sz w:val="32"/>
          <w:szCs w:val="32"/>
          <w:u w:val="single"/>
          <w:lang w:val="en-US" w:eastAsia="zh-CN"/>
        </w:rPr>
        <w:t xml:space="preserve"> 1 </w:t>
      </w:r>
      <w:r>
        <w:rPr>
          <w:rFonts w:hint="eastAsia" w:ascii="仿宋" w:hAnsi="仿宋" w:eastAsia="仿宋" w:cs="仿宋"/>
          <w:sz w:val="32"/>
          <w:szCs w:val="32"/>
        </w:rPr>
        <w:t>个</w:t>
      </w:r>
      <w:r>
        <w:rPr>
          <w:rFonts w:hint="eastAsia" w:ascii="仿宋" w:hAnsi="仿宋" w:eastAsia="仿宋" w:cs="仿宋"/>
          <w:sz w:val="32"/>
          <w:szCs w:val="32"/>
          <w:lang w:eastAsia="zh-CN"/>
        </w:rPr>
        <w:t>，</w:t>
      </w:r>
      <w:r>
        <w:rPr>
          <w:rFonts w:hint="eastAsia" w:ascii="仿宋" w:hAnsi="仿宋" w:eastAsia="仿宋" w:cs="仿宋"/>
          <w:sz w:val="32"/>
          <w:szCs w:val="32"/>
        </w:rPr>
        <w:t>比上年增减</w:t>
      </w:r>
      <w:r>
        <w:rPr>
          <w:rFonts w:hint="eastAsia" w:ascii="仿宋" w:hAnsi="仿宋" w:eastAsia="仿宋" w:cs="仿宋"/>
          <w:sz w:val="32"/>
          <w:szCs w:val="32"/>
          <w:u w:val="single"/>
          <w:lang w:val="en-US" w:eastAsia="zh-CN"/>
        </w:rPr>
        <w:t xml:space="preserve"> 0 </w:t>
      </w:r>
      <w:r>
        <w:rPr>
          <w:rFonts w:hint="eastAsia" w:ascii="仿宋" w:hAnsi="仿宋" w:eastAsia="仿宋" w:cs="仿宋"/>
          <w:sz w:val="32"/>
          <w:szCs w:val="32"/>
        </w:rPr>
        <w:t>个</w:t>
      </w:r>
      <w:r>
        <w:rPr>
          <w:rFonts w:hint="eastAsia" w:ascii="仿宋" w:hAnsi="仿宋" w:eastAsia="仿宋" w:cs="仿宋"/>
          <w:sz w:val="32"/>
          <w:szCs w:val="32"/>
          <w:lang w:eastAsia="zh-CN"/>
        </w:rPr>
        <w:t>。</w:t>
      </w:r>
    </w:p>
    <w:p>
      <w:pPr>
        <w:pageBreakBefore w:val="0"/>
        <w:kinsoku/>
        <w:overflowPunct/>
        <w:topLinePunct w:val="0"/>
        <w:bidi w:val="0"/>
        <w:ind w:firstLine="640" w:firstLineChars="200"/>
      </w:pPr>
      <w:r>
        <w:rPr>
          <w:rFonts w:hint="eastAsia" w:ascii="仿宋" w:hAnsi="仿宋" w:eastAsia="仿宋" w:cs="仿宋"/>
          <w:color w:val="0C0C0C"/>
          <w:sz w:val="32"/>
          <w:szCs w:val="32"/>
          <w:lang w:eastAsia="zh-CN"/>
        </w:rPr>
        <w:t>前</w:t>
      </w:r>
      <w:r>
        <w:rPr>
          <w:rFonts w:hint="eastAsia" w:ascii="仿宋" w:hAnsi="仿宋" w:eastAsia="仿宋" w:cs="仿宋"/>
          <w:color w:val="0C0C0C"/>
          <w:sz w:val="32"/>
          <w:szCs w:val="32"/>
        </w:rPr>
        <w:t>锋区妇幼保健计划生育服务中心设办公室、门诊部、住院部、护理部、妇幼和生殖保健服务科、药械管理科和医疗技术科。编制</w:t>
      </w:r>
      <w:r>
        <w:rPr>
          <w:rFonts w:hint="eastAsia" w:ascii="仿宋" w:hAnsi="仿宋" w:eastAsia="仿宋" w:cs="仿宋"/>
          <w:color w:val="0C0C0C"/>
          <w:sz w:val="32"/>
          <w:szCs w:val="32"/>
          <w:lang w:val="en-US" w:eastAsia="zh-CN"/>
        </w:rPr>
        <w:t>34</w:t>
      </w:r>
      <w:r>
        <w:rPr>
          <w:rFonts w:hint="eastAsia" w:ascii="仿宋" w:hAnsi="仿宋" w:eastAsia="仿宋" w:cs="仿宋"/>
          <w:color w:val="0C0C0C"/>
          <w:sz w:val="32"/>
          <w:szCs w:val="32"/>
        </w:rPr>
        <w:t>人，其中：事业编制</w:t>
      </w:r>
      <w:r>
        <w:rPr>
          <w:rFonts w:hint="eastAsia" w:ascii="仿宋" w:hAnsi="仿宋" w:eastAsia="仿宋" w:cs="仿宋"/>
          <w:color w:val="0C0C0C"/>
          <w:sz w:val="32"/>
          <w:szCs w:val="32"/>
          <w:lang w:val="en-US" w:eastAsia="zh-CN"/>
        </w:rPr>
        <w:t>34</w:t>
      </w:r>
      <w:r>
        <w:rPr>
          <w:rFonts w:hint="eastAsia" w:ascii="仿宋" w:hAnsi="仿宋" w:eastAsia="仿宋" w:cs="仿宋"/>
          <w:color w:val="0C0C0C"/>
          <w:sz w:val="32"/>
          <w:szCs w:val="32"/>
        </w:rPr>
        <w:t>人，在编在岗实有人数</w:t>
      </w:r>
      <w:r>
        <w:rPr>
          <w:rFonts w:hint="eastAsia" w:ascii="仿宋" w:hAnsi="仿宋" w:eastAsia="仿宋" w:cs="仿宋"/>
          <w:color w:val="0C0C0C"/>
          <w:sz w:val="32"/>
          <w:szCs w:val="32"/>
          <w:lang w:val="en-US" w:eastAsia="zh-CN"/>
        </w:rPr>
        <w:t>27</w:t>
      </w:r>
      <w:r>
        <w:rPr>
          <w:rFonts w:hint="eastAsia" w:ascii="仿宋" w:hAnsi="仿宋" w:eastAsia="仿宋" w:cs="仿宋"/>
          <w:color w:val="0C0C0C"/>
          <w:sz w:val="32"/>
          <w:szCs w:val="32"/>
        </w:rPr>
        <w:t>人。</w:t>
      </w:r>
    </w:p>
    <w:p>
      <w:pPr>
        <w:pageBreakBefore w:val="0"/>
        <w:numPr>
          <w:ilvl w:val="0"/>
          <w:numId w:val="6"/>
        </w:numPr>
        <w:kinsoku/>
        <w:overflowPunct/>
        <w:topLinePunct w:val="0"/>
        <w:bidi w:val="0"/>
        <w:spacing w:line="580" w:lineRule="exact"/>
        <w:ind w:left="200" w:leftChars="0" w:firstLine="640" w:firstLineChars="0"/>
        <w:rPr>
          <w:rFonts w:ascii="仿宋" w:hAnsi="仿宋" w:eastAsia="仿宋" w:cs="仿宋_GB2312"/>
          <w:sz w:val="32"/>
          <w:szCs w:val="32"/>
        </w:rPr>
      </w:pPr>
      <w:r>
        <w:rPr>
          <w:rFonts w:ascii="仿宋" w:hAnsi="仿宋" w:eastAsia="仿宋" w:cs="仿宋_GB2312"/>
          <w:sz w:val="32"/>
          <w:szCs w:val="32"/>
        </w:rPr>
        <w:t>机构职能。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1.</w:t>
      </w:r>
      <w:r>
        <w:rPr>
          <w:rFonts w:hint="eastAsia" w:ascii="仿宋" w:hAnsi="仿宋" w:eastAsia="仿宋" w:cs="仿宋"/>
          <w:color w:val="0C0C0C"/>
          <w:sz w:val="32"/>
          <w:szCs w:val="32"/>
        </w:rPr>
        <w:t>以服务前锋的卫生计生事业，贯彻执行国家、省市卫生和计划生育的方针政策</w:t>
      </w:r>
      <w:r>
        <w:rPr>
          <w:rFonts w:hint="eastAsia" w:ascii="仿宋" w:hAnsi="仿宋" w:eastAsia="仿宋" w:cs="仿宋"/>
          <w:color w:val="0C0C0C"/>
          <w:sz w:val="32"/>
          <w:szCs w:val="32"/>
          <w:lang w:eastAsia="zh-CN"/>
        </w:rPr>
        <w:t>。</w:t>
      </w:r>
      <w:r>
        <w:rPr>
          <w:rFonts w:hint="eastAsia" w:ascii="仿宋" w:hAnsi="仿宋" w:eastAsia="仿宋" w:cs="仿宋"/>
          <w:color w:val="0C0C0C"/>
          <w:kern w:val="0"/>
          <w:sz w:val="32"/>
          <w:szCs w:val="32"/>
          <w:lang w:val="en-US" w:eastAsia="zh-CN" w:bidi="ar-SA"/>
        </w:rPr>
        <w:t>履行公共卫生职责，掌握辖区内妇女儿童健康状况信息，为辖区内妇女儿童提供育龄妇女保健、围产保健、儿童保健、计划生育技术等妇幼保健计生技术服务，控制孕产妇及5岁以下儿童死亡率。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2.受市卫健委委托，承担辖区内妇幼保健、母婴保健技术、计划生育服务技术人员的培训和技术支持工作；负责对本辖区内各级医疗保健机构开展妇幼卫生计生服务质量的检查、考核与评价。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3.负责对幼儿园、托儿所的卫生保健工作进行评估和监督；负责对入园、入托儿童、托幼机构工作人员卫生保健的监督管理。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4.承担计划生育宣传教育、技术服务、优生指导、药具发放、信息咨询、随访服务、生殖保健等工作。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5.普及妇幼卫生科学和计划生育技术知识，配合有关部门落实各项保健措施和以避孕为主的综合节育措施。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6.负责开展婚前医学检查、孕前优生优育健康检查和孕期出生缺陷综合防控等工作。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7.负责提供妇女儿童的基本医疗服务，包括妇女儿童常见病、多发病的诊治，孕产妇分娩的助产技术等服务。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8.负责全区妇幼保健计划生育技术服务的信息收集、统计、整理、分析、质量控制和汇总上报。</w:t>
      </w:r>
    </w:p>
    <w:p>
      <w:pPr>
        <w:pStyle w:val="2"/>
        <w:pageBreakBefore w:val="0"/>
        <w:numPr>
          <w:ilvl w:val="0"/>
          <w:numId w:val="0"/>
        </w:numPr>
        <w:kinsoku/>
        <w:overflowPunct/>
        <w:topLinePunct w:val="0"/>
        <w:bidi w:val="0"/>
        <w:ind w:firstLine="640" w:firstLineChars="200"/>
      </w:pPr>
      <w:r>
        <w:rPr>
          <w:rFonts w:hint="eastAsia" w:ascii="仿宋" w:hAnsi="仿宋" w:eastAsia="仿宋" w:cs="仿宋"/>
          <w:color w:val="0C0C0C"/>
          <w:kern w:val="0"/>
          <w:sz w:val="32"/>
          <w:szCs w:val="32"/>
          <w:lang w:val="en-US" w:eastAsia="zh-CN" w:bidi="ar-SA"/>
        </w:rPr>
        <w:t>9.完成区委、区政府及区卫健局交办的其他事项。</w:t>
      </w:r>
    </w:p>
    <w:p>
      <w:pPr>
        <w:pageBreakBefore w:val="0"/>
        <w:kinsoku/>
        <w:overflowPunct/>
        <w:topLinePunct w:val="0"/>
        <w:bidi w:val="0"/>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640" w:firstLineChars="200"/>
        <w:jc w:val="both"/>
        <w:rPr>
          <w:rFonts w:hint="eastAsia" w:ascii="仿宋" w:hAnsi="仿宋" w:eastAsia="仿宋" w:cs="仿宋"/>
          <w:color w:val="0C0C0C"/>
          <w:kern w:val="0"/>
          <w:sz w:val="32"/>
          <w:szCs w:val="32"/>
          <w:lang w:val="en-US" w:eastAsia="zh-CN" w:bidi="ar-SA"/>
        </w:rPr>
      </w:pPr>
      <w:r>
        <w:rPr>
          <w:rFonts w:hint="eastAsia" w:ascii="仿宋" w:hAnsi="仿宋" w:eastAsia="仿宋" w:cs="仿宋"/>
          <w:color w:val="0C0C0C"/>
          <w:kern w:val="0"/>
          <w:sz w:val="32"/>
          <w:szCs w:val="32"/>
          <w:lang w:val="en-US" w:eastAsia="zh-CN" w:bidi="ar-SA"/>
        </w:rPr>
        <w:t>我单位共有编制34人，其中：事业编制34人，在编在岗实有人数27人。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pageBreakBefore w:val="0"/>
        <w:kinsoku/>
        <w:overflowPunct/>
        <w:topLinePunct w:val="0"/>
        <w:bidi w:val="0"/>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pageBreakBefore w:val="0"/>
        <w:kinsoku/>
        <w:overflowPunct/>
        <w:topLinePunct w:val="0"/>
        <w:bidi w:val="0"/>
        <w:spacing w:line="600" w:lineRule="exact"/>
        <w:ind w:firstLine="640" w:firstLineChars="200"/>
        <w:outlineLvl w:val="1"/>
        <w:rPr>
          <w:rFonts w:hint="eastAsia" w:ascii="仿宋" w:hAnsi="仿宋" w:eastAsia="仿宋"/>
          <w:b/>
          <w:bCs/>
          <w:color w:val="C00000"/>
          <w:sz w:val="32"/>
          <w:szCs w:val="32"/>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605.82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562.8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92.9</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43.02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7.1</w:t>
      </w:r>
      <w:r>
        <w:rPr>
          <w:rFonts w:ascii="仿宋" w:hAnsi="仿宋" w:eastAsia="仿宋"/>
          <w:color w:val="000000"/>
          <w:sz w:val="32"/>
          <w:szCs w:val="32"/>
        </w:rPr>
        <w:t>%</w:t>
      </w:r>
      <w:r>
        <w:rPr>
          <w:rFonts w:hint="eastAsia" w:ascii="仿宋" w:hAnsi="仿宋" w:eastAsia="仿宋"/>
          <w:color w:val="000000"/>
          <w:sz w:val="32"/>
          <w:szCs w:val="32"/>
          <w:lang w:eastAsia="zh-CN"/>
        </w:rPr>
        <w:t>。</w:t>
      </w:r>
    </w:p>
    <w:p>
      <w:pPr>
        <w:pageBreakBefore w:val="0"/>
        <w:numPr>
          <w:ilvl w:val="0"/>
          <w:numId w:val="0"/>
        </w:numPr>
        <w:kinsoku/>
        <w:overflowPunct/>
        <w:topLinePunct w:val="0"/>
        <w:bidi w:val="0"/>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（二）</w:t>
      </w:r>
      <w:r>
        <w:rPr>
          <w:rFonts w:ascii="仿宋" w:hAnsi="仿宋" w:eastAsia="仿宋" w:cs="仿宋_GB2312"/>
          <w:sz w:val="32"/>
          <w:szCs w:val="32"/>
        </w:rPr>
        <w:t>部门财政资金支出情况。</w:t>
      </w:r>
    </w:p>
    <w:p>
      <w:pPr>
        <w:pageBreakBefore w:val="0"/>
        <w:kinsoku/>
        <w:overflowPunct/>
        <w:topLinePunct w:val="0"/>
        <w:bidi w:val="0"/>
        <w:spacing w:line="600" w:lineRule="exact"/>
        <w:ind w:firstLine="640" w:firstLineChars="200"/>
        <w:rPr>
          <w:rFonts w:ascii="仿宋" w:hAnsi="仿宋" w:eastAsia="仿宋"/>
          <w:color w:val="000000"/>
          <w:sz w:val="32"/>
          <w:szCs w:val="32"/>
          <w:shd w:val="pct10" w:color="auto" w:fill="FFFFFF"/>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605.82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478.26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78.94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127.56</w:t>
      </w:r>
      <w:r>
        <w:rPr>
          <w:rFonts w:hint="eastAsia" w:ascii="仿宋" w:hAnsi="仿宋" w:eastAsia="仿宋"/>
          <w:color w:val="000000"/>
          <w:sz w:val="32"/>
          <w:szCs w:val="32"/>
        </w:rPr>
        <w:t>万元。</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pageBreakBefore w:val="0"/>
        <w:kinsoku/>
        <w:overflowPunct/>
        <w:topLinePunct w:val="0"/>
        <w:bidi w:val="0"/>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pageBreakBefore w:val="0"/>
        <w:kinsoku/>
        <w:overflowPunct/>
        <w:topLinePunct w:val="0"/>
        <w:bidi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紧紧围绕构建“一干多支、五区协同”的发展战略目标，自觉践行新发展理念，根据职能职责积极谋划，确定目标任务，推动</w:t>
      </w:r>
      <w:r>
        <w:rPr>
          <w:rFonts w:hint="eastAsia" w:ascii="仿宋" w:hAnsi="仿宋" w:eastAsia="仿宋" w:cs="仿宋_GB2312"/>
          <w:sz w:val="32"/>
          <w:szCs w:val="32"/>
          <w:lang w:eastAsia="zh-CN"/>
        </w:rPr>
        <w:t>妇女儿童和计划生育事业的发展</w:t>
      </w:r>
      <w:r>
        <w:rPr>
          <w:rFonts w:hint="eastAsia" w:ascii="仿宋" w:hAnsi="仿宋" w:eastAsia="仿宋" w:cs="仿宋_GB2312"/>
          <w:sz w:val="32"/>
          <w:szCs w:val="32"/>
        </w:rPr>
        <w:t>。</w:t>
      </w:r>
    </w:p>
    <w:p>
      <w:pPr>
        <w:pageBreakBefore w:val="0"/>
        <w:kinsoku/>
        <w:overflowPunct/>
        <w:topLinePunct w:val="0"/>
        <w:bidi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一是按照 </w:t>
      </w: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年部门预算编审要求，根据我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职能</w:t>
      </w:r>
      <w:r>
        <w:rPr>
          <w:rFonts w:hint="eastAsia" w:ascii="仿宋" w:hAnsi="仿宋" w:eastAsia="仿宋" w:cs="仿宋_GB2312"/>
          <w:sz w:val="32"/>
          <w:szCs w:val="32"/>
          <w:lang w:eastAsia="zh-CN"/>
        </w:rPr>
        <w:t>职</w:t>
      </w:r>
      <w:r>
        <w:rPr>
          <w:rFonts w:hint="eastAsia" w:ascii="仿宋" w:hAnsi="仿宋" w:eastAsia="仿宋" w:cs="仿宋_GB2312"/>
          <w:sz w:val="32"/>
          <w:szCs w:val="32"/>
        </w:rPr>
        <w:t>责，结合中长期规划和年度工作计划，明确了年度主要工作任务及年度内履职所要达到的总体效果，认真填报了我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整体支出绩效目标及项目绩效目标，具体说明了项目概况，设定了年度绩效数量指标、成本指标、效益指标等，详细反映了相应项目工作任务、达成的效果。</w:t>
      </w:r>
    </w:p>
    <w:p>
      <w:pPr>
        <w:pageBreakBefore w:val="0"/>
        <w:kinsoku/>
        <w:overflowPunct/>
        <w:topLinePunct w:val="0"/>
        <w:bidi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二是按照《四川省省级预算绩效运行监控管理暂行办法》要求，认真组织开展</w:t>
      </w:r>
      <w:r>
        <w:rPr>
          <w:rFonts w:hint="eastAsia" w:ascii="仿宋" w:hAnsi="仿宋" w:eastAsia="仿宋" w:cs="仿宋_GB2312"/>
          <w:sz w:val="32"/>
          <w:szCs w:val="32"/>
          <w:lang w:eastAsia="zh-CN"/>
        </w:rPr>
        <w:t>单位内部</w:t>
      </w:r>
      <w:r>
        <w:rPr>
          <w:rFonts w:hint="eastAsia" w:ascii="仿宋" w:hAnsi="仿宋" w:eastAsia="仿宋" w:cs="仿宋_GB2312"/>
          <w:sz w:val="32"/>
          <w:szCs w:val="32"/>
        </w:rPr>
        <w:t>绩效监控工作，对项目进度、预算执行、投入产出、各项效益的阶段完成情况进行动态跟踪监控，填报《项目预算绩效监控分析表》，进一步明确项目完成目标可能性及时间。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105" w:afterAutospacing="0" w:line="30" w:lineRule="atLeast"/>
        <w:ind w:left="0" w:right="0" w:firstLine="640" w:firstLineChars="200"/>
        <w:jc w:val="left"/>
        <w:rPr>
          <w:rFonts w:hint="eastAsia" w:ascii="仿宋" w:hAnsi="仿宋" w:eastAsia="仿宋" w:cs="仿宋_GB2312"/>
          <w:sz w:val="32"/>
          <w:szCs w:val="32"/>
          <w:lang w:eastAsia="zh-CN"/>
        </w:rPr>
      </w:pPr>
      <w:r>
        <w:rPr>
          <w:rFonts w:hint="eastAsia" w:ascii="仿宋" w:hAnsi="仿宋" w:eastAsia="仿宋" w:cs="仿宋_GB2312"/>
          <w:sz w:val="32"/>
          <w:szCs w:val="32"/>
        </w:rPr>
        <w:t>三是按照</w:t>
      </w:r>
      <w:r>
        <w:rPr>
          <w:rFonts w:hint="eastAsia" w:ascii="仿宋" w:hAnsi="仿宋" w:eastAsia="仿宋" w:cs="仿宋_GB2312"/>
          <w:sz w:val="32"/>
          <w:szCs w:val="32"/>
          <w:lang w:eastAsia="zh-CN"/>
        </w:rPr>
        <w:t>区财政部门</w:t>
      </w:r>
      <w:r>
        <w:rPr>
          <w:rFonts w:hint="eastAsia" w:ascii="仿宋" w:hAnsi="仿宋" w:eastAsia="仿宋" w:cs="仿宋_GB2312"/>
          <w:sz w:val="32"/>
          <w:szCs w:val="32"/>
        </w:rPr>
        <w:t>统一部署及时公开部门预算。按照预算管理相关规定，在财政批复</w:t>
      </w: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年部门预算的7个工作日内，将部门预算编制说明及时公开挂网，接受社会监督，公开效果良好</w:t>
      </w:r>
      <w:r>
        <w:rPr>
          <w:rFonts w:hint="eastAsia" w:ascii="仿宋" w:hAnsi="仿宋" w:eastAsia="仿宋" w:cs="仿宋_GB2312"/>
          <w:sz w:val="32"/>
          <w:szCs w:val="32"/>
          <w:lang w:eastAsia="zh-CN"/>
        </w:rPr>
        <w:t>。</w:t>
      </w:r>
    </w:p>
    <w:p>
      <w:pPr>
        <w:pageBreakBefore w:val="0"/>
        <w:kinsoku/>
        <w:overflowPunct/>
        <w:topLinePunct w:val="0"/>
        <w:bidi w:val="0"/>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pageBreakBefore w:val="0"/>
        <w:kinsoku/>
        <w:overflowPunct/>
        <w:topLinePunct w:val="0"/>
        <w:bidi w:val="0"/>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我单位无专项预算管理</w:t>
      </w:r>
    </w:p>
    <w:p>
      <w:pPr>
        <w:pageBreakBefore w:val="0"/>
        <w:kinsoku/>
        <w:overflowPunct/>
        <w:topLinePunct w:val="0"/>
        <w:bidi w:val="0"/>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105" w:afterAutospacing="0" w:line="30" w:lineRule="atLeast"/>
        <w:ind w:left="0" w:right="0" w:firstLine="640" w:firstLineChars="200"/>
        <w:jc w:val="left"/>
        <w:rPr>
          <w:rFonts w:ascii="仿宋" w:hAnsi="仿宋" w:eastAsia="仿宋" w:cs="仿宋_GB2312"/>
          <w:sz w:val="32"/>
          <w:szCs w:val="32"/>
        </w:rPr>
      </w:pPr>
      <w:r>
        <w:rPr>
          <w:rFonts w:hint="eastAsia" w:ascii="仿宋" w:hAnsi="仿宋" w:eastAsia="仿宋" w:cs="仿宋_GB2312"/>
          <w:sz w:val="32"/>
          <w:szCs w:val="32"/>
        </w:rPr>
        <w:t>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对部门预算绩效管理工作开展情况认真进行了自查自评。绩效评价自查开展覆盖</w:t>
      </w:r>
      <w:r>
        <w:rPr>
          <w:rFonts w:hint="eastAsia" w:ascii="仿宋" w:hAnsi="仿宋" w:eastAsia="仿宋" w:cs="仿宋_GB2312"/>
          <w:sz w:val="32"/>
          <w:szCs w:val="32"/>
          <w:lang w:eastAsia="zh-CN"/>
        </w:rPr>
        <w:t>基本支出</w:t>
      </w:r>
      <w:r>
        <w:rPr>
          <w:rFonts w:hint="eastAsia" w:ascii="仿宋" w:hAnsi="仿宋" w:eastAsia="仿宋" w:cs="仿宋_GB2312"/>
          <w:sz w:val="32"/>
          <w:szCs w:val="32"/>
        </w:rPr>
        <w:t>及重点支出，将评价结果作为预算安排的重要依据，参照项目年度预算执行情况，保障重点支出，调整支出结构，优化财政资金配置，不断强化绩效理念，推动</w:t>
      </w:r>
      <w:r>
        <w:rPr>
          <w:rFonts w:hint="eastAsia" w:ascii="仿宋" w:hAnsi="仿宋" w:eastAsia="仿宋" w:cs="仿宋_GB2312"/>
          <w:sz w:val="32"/>
          <w:szCs w:val="32"/>
          <w:lang w:eastAsia="zh-CN"/>
        </w:rPr>
        <w:t>我单位</w:t>
      </w:r>
      <w:r>
        <w:rPr>
          <w:rFonts w:hint="eastAsia" w:ascii="仿宋" w:hAnsi="仿宋" w:eastAsia="仿宋" w:cs="仿宋_GB2312"/>
          <w:sz w:val="32"/>
          <w:szCs w:val="32"/>
        </w:rPr>
        <w:t>部门整体绩效管理水平不断提升</w:t>
      </w:r>
      <w:r>
        <w:rPr>
          <w:rFonts w:ascii="仿宋" w:hAnsi="仿宋" w:eastAsia="仿宋" w:cs="仿宋_GB2312"/>
          <w:sz w:val="32"/>
          <w:szCs w:val="32"/>
        </w:rPr>
        <w:t>。</w:t>
      </w:r>
      <w:r>
        <w:rPr>
          <w:rFonts w:hint="eastAsia" w:ascii="仿宋" w:hAnsi="仿宋" w:eastAsia="仿宋" w:cs="仿宋_GB2312"/>
          <w:sz w:val="32"/>
          <w:szCs w:val="32"/>
        </w:rPr>
        <w:t>充分应用评价结果。</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pageBreakBefore w:val="0"/>
        <w:kinsoku/>
        <w:overflowPunct/>
        <w:topLinePunct w:val="0"/>
        <w:bidi w:val="0"/>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30" w:lineRule="atLeast"/>
        <w:ind w:left="0" w:right="0" w:firstLine="640" w:firstLineChars="200"/>
        <w:jc w:val="left"/>
        <w:textAlignment w:val="auto"/>
        <w:rPr>
          <w:rFonts w:hint="eastAsia" w:eastAsia="宋体"/>
          <w:lang w:val="en-US" w:eastAsia="zh-CN"/>
        </w:rPr>
      </w:pPr>
      <w:r>
        <w:rPr>
          <w:rFonts w:hint="eastAsia" w:ascii="仿宋" w:hAnsi="仿宋" w:eastAsia="仿宋" w:cs="仿宋_GB2312"/>
          <w:sz w:val="32"/>
          <w:szCs w:val="32"/>
        </w:rPr>
        <w:t>通过绩效自评，</w:t>
      </w:r>
      <w:r>
        <w:rPr>
          <w:rFonts w:hint="eastAsia" w:ascii="仿宋" w:hAnsi="仿宋" w:eastAsia="仿宋" w:cs="仿宋_GB2312"/>
          <w:sz w:val="32"/>
          <w:szCs w:val="32"/>
          <w:lang w:eastAsia="zh-CN"/>
        </w:rPr>
        <w:t>我中心</w:t>
      </w:r>
      <w:r>
        <w:rPr>
          <w:rFonts w:hint="eastAsia" w:ascii="仿宋" w:hAnsi="仿宋" w:eastAsia="仿宋" w:cs="仿宋_GB2312"/>
          <w:sz w:val="32"/>
          <w:szCs w:val="32"/>
        </w:rPr>
        <w:t>整体支出绩效良好，实行预算执行进度按期通报制度，建立预算安排与预算执行进度挂钩机制。全年基本支出保证了部门的正常运行和日常工作的正常开展，项目支出保障了重点工作的开展，达到预期绩效目标。</w:t>
      </w:r>
    </w:p>
    <w:p>
      <w:pPr>
        <w:pageBreakBefore w:val="0"/>
        <w:numPr>
          <w:ilvl w:val="0"/>
          <w:numId w:val="7"/>
        </w:numPr>
        <w:kinsoku/>
        <w:overflowPunct/>
        <w:topLinePunct w:val="0"/>
        <w:bidi w:val="0"/>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存在问题。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105" w:afterAutospacing="0" w:line="30" w:lineRule="atLeast"/>
        <w:ind w:left="0" w:right="0" w:firstLine="640" w:firstLineChars="200"/>
        <w:jc w:val="left"/>
        <w:rPr>
          <w:rFonts w:hint="eastAsia" w:eastAsia="仿宋"/>
          <w:lang w:eastAsia="zh-CN"/>
        </w:rPr>
      </w:pPr>
      <w:r>
        <w:rPr>
          <w:rFonts w:hint="eastAsia" w:ascii="仿宋" w:hAnsi="仿宋" w:eastAsia="仿宋" w:cs="仿宋_GB2312"/>
          <w:sz w:val="32"/>
          <w:szCs w:val="32"/>
        </w:rPr>
        <w:t>绩效目标设定有待更科学更合理</w:t>
      </w:r>
      <w:r>
        <w:rPr>
          <w:rFonts w:hint="eastAsia" w:ascii="仿宋" w:hAnsi="仿宋" w:eastAsia="仿宋" w:cs="仿宋_GB2312"/>
          <w:sz w:val="32"/>
          <w:szCs w:val="32"/>
          <w:lang w:eastAsia="zh-CN"/>
        </w:rPr>
        <w:t>；</w:t>
      </w:r>
      <w:r>
        <w:rPr>
          <w:rFonts w:hint="eastAsia" w:ascii="仿宋" w:hAnsi="仿宋" w:eastAsia="仿宋" w:cs="仿宋_GB2312"/>
          <w:sz w:val="32"/>
          <w:szCs w:val="32"/>
        </w:rPr>
        <w:t>区级财政资金调度困难，资金使用效益有待进一步提高</w:t>
      </w:r>
      <w:r>
        <w:rPr>
          <w:rFonts w:hint="eastAsia" w:ascii="仿宋" w:hAnsi="仿宋" w:eastAsia="仿宋" w:cs="仿宋_GB2312"/>
          <w:sz w:val="32"/>
          <w:szCs w:val="32"/>
          <w:lang w:eastAsia="zh-CN"/>
        </w:rPr>
        <w:t>；</w:t>
      </w:r>
      <w:r>
        <w:rPr>
          <w:rFonts w:hint="eastAsia" w:ascii="仿宋" w:hAnsi="仿宋" w:eastAsia="仿宋" w:cs="仿宋_GB2312"/>
          <w:sz w:val="32"/>
          <w:szCs w:val="32"/>
        </w:rPr>
        <w:t>个别项目资金到位比较迟缓，影响项目执行进度</w:t>
      </w:r>
      <w:r>
        <w:rPr>
          <w:rFonts w:hint="eastAsia" w:ascii="仿宋" w:hAnsi="仿宋" w:eastAsia="仿宋" w:cs="仿宋_GB2312"/>
          <w:sz w:val="32"/>
          <w:szCs w:val="32"/>
          <w:lang w:eastAsia="zh-CN"/>
        </w:rPr>
        <w:t>；财务人员专业技术知识有待提高，财务管理需进一步规范。</w:t>
      </w:r>
    </w:p>
    <w:p>
      <w:pPr>
        <w:pageBreakBefore w:val="0"/>
        <w:numPr>
          <w:ilvl w:val="0"/>
          <w:numId w:val="7"/>
        </w:numPr>
        <w:kinsoku/>
        <w:overflowPunct/>
        <w:topLinePunct w:val="0"/>
        <w:bidi w:val="0"/>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改进建议。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30" w:lineRule="atLeast"/>
        <w:ind w:left="0" w:right="0" w:firstLine="640" w:firstLineChars="200"/>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针对存在的问题，我们将进一步科学设定绩效目标，加强预算执行管理。改进部门收支预算编制，夯实预算基础工作，提高预算编制质量；认真研究政策，加强项目绩效目标审核，力求科学合理；财政部门切实解决争取项目工作经费差口；财务人员不断学习业务知识，提高业务能力，规范财务管理纪律制度。</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jc w:val="center"/>
        <w:outlineLvl w:val="0"/>
        <w:rPr>
          <w:rStyle w:val="26"/>
          <w:rFonts w:ascii="黑体" w:hAnsi="黑体" w:eastAsia="黑体"/>
          <w:b w:val="0"/>
        </w:rPr>
      </w:pPr>
      <w:bookmarkStart w:id="60"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7"/>
      <w:bookmarkEnd w:id="60"/>
    </w:p>
    <w:p>
      <w:pPr>
        <w:pStyle w:val="4"/>
        <w:rPr>
          <w:rFonts w:ascii="仿宋" w:hAnsi="仿宋" w:eastAsia="仿宋"/>
          <w:color w:val="000000"/>
        </w:rPr>
      </w:pPr>
      <w:bookmarkStart w:id="74" w:name="_GoBack"/>
      <w:bookmarkEnd w:id="74"/>
      <w:bookmarkStart w:id="61"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1"/>
    </w:p>
    <w:p>
      <w:pPr>
        <w:pStyle w:val="4"/>
        <w:rPr>
          <w:rFonts w:ascii="仿宋" w:hAnsi="仿宋" w:eastAsia="仿宋"/>
          <w:color w:val="000000"/>
        </w:rPr>
      </w:pPr>
      <w:bookmarkStart w:id="62" w:name="_Toc15396620"/>
      <w:r>
        <w:rPr>
          <w:rFonts w:hint="eastAsia" w:ascii="仿宋" w:hAnsi="仿宋" w:eastAsia="仿宋"/>
          <w:b w:val="0"/>
          <w:color w:val="000000"/>
        </w:rPr>
        <w:t>二、收</w:t>
      </w:r>
      <w:r>
        <w:rPr>
          <w:rStyle w:val="27"/>
          <w:rFonts w:hint="eastAsia" w:ascii="仿宋" w:hAnsi="仿宋" w:eastAsia="仿宋"/>
          <w:b w:val="0"/>
          <w:bCs w:val="0"/>
        </w:rPr>
        <w:t>入</w:t>
      </w:r>
      <w:r>
        <w:rPr>
          <w:rStyle w:val="27"/>
          <w:rFonts w:hint="eastAsia" w:ascii="仿宋" w:hAnsi="仿宋" w:eastAsia="仿宋"/>
          <w:b w:val="0"/>
          <w:bCs w:val="0"/>
          <w:lang w:eastAsia="zh-CN"/>
        </w:rPr>
        <w:t>决算</w:t>
      </w:r>
      <w:r>
        <w:rPr>
          <w:rStyle w:val="27"/>
          <w:rFonts w:hint="eastAsia" w:ascii="仿宋" w:hAnsi="仿宋" w:eastAsia="仿宋"/>
          <w:b w:val="0"/>
          <w:bCs w:val="0"/>
        </w:rPr>
        <w:t>总表</w:t>
      </w:r>
      <w:bookmarkEnd w:id="62"/>
    </w:p>
    <w:p>
      <w:pPr>
        <w:pStyle w:val="4"/>
        <w:rPr>
          <w:rFonts w:ascii="仿宋" w:hAnsi="仿宋" w:eastAsia="仿宋"/>
          <w:color w:val="000000"/>
        </w:rPr>
      </w:pPr>
      <w:bookmarkStart w:id="63"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w:t>
      </w:r>
      <w:r>
        <w:rPr>
          <w:rStyle w:val="27"/>
          <w:rFonts w:hint="eastAsia" w:ascii="仿宋" w:hAnsi="仿宋" w:eastAsia="仿宋"/>
          <w:b w:val="0"/>
          <w:bCs w:val="0"/>
          <w:lang w:eastAsia="zh-CN"/>
        </w:rPr>
        <w:t>决算</w:t>
      </w:r>
      <w:r>
        <w:rPr>
          <w:rStyle w:val="27"/>
          <w:rFonts w:hint="eastAsia" w:ascii="仿宋" w:hAnsi="仿宋" w:eastAsia="仿宋"/>
          <w:b w:val="0"/>
          <w:bCs w:val="0"/>
        </w:rPr>
        <w:t>总表</w:t>
      </w:r>
      <w:bookmarkEnd w:id="63"/>
    </w:p>
    <w:p>
      <w:pPr>
        <w:pStyle w:val="4"/>
        <w:rPr>
          <w:rFonts w:ascii="仿宋" w:hAnsi="仿宋" w:eastAsia="仿宋"/>
          <w:b w:val="0"/>
          <w:color w:val="000000"/>
        </w:rPr>
      </w:pPr>
      <w:bookmarkStart w:id="64"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4"/>
    </w:p>
    <w:p>
      <w:pPr>
        <w:pStyle w:val="4"/>
        <w:rPr>
          <w:rFonts w:ascii="仿宋" w:hAnsi="仿宋" w:eastAsia="仿宋"/>
          <w:color w:val="000000"/>
        </w:rPr>
      </w:pPr>
      <w:bookmarkStart w:id="65"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5"/>
    </w:p>
    <w:p>
      <w:pPr>
        <w:pStyle w:val="4"/>
        <w:rPr>
          <w:rFonts w:ascii="仿宋" w:hAnsi="仿宋" w:eastAsia="仿宋"/>
          <w:color w:val="000000"/>
        </w:rPr>
      </w:pPr>
      <w:bookmarkStart w:id="66" w:name="_Toc15396624"/>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6"/>
    </w:p>
    <w:p>
      <w:pPr>
        <w:pStyle w:val="4"/>
        <w:rPr>
          <w:rFonts w:ascii="仿宋" w:hAnsi="仿宋" w:eastAsia="仿宋"/>
          <w:color w:val="000000"/>
        </w:rPr>
      </w:pPr>
      <w:bookmarkStart w:id="67"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7"/>
    </w:p>
    <w:p>
      <w:pPr>
        <w:pStyle w:val="4"/>
        <w:rPr>
          <w:rFonts w:ascii="仿宋" w:hAnsi="仿宋" w:eastAsia="仿宋"/>
          <w:color w:val="000000"/>
        </w:rPr>
      </w:pPr>
      <w:bookmarkStart w:id="68"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8"/>
    </w:p>
    <w:p>
      <w:pPr>
        <w:pStyle w:val="4"/>
        <w:rPr>
          <w:rFonts w:ascii="仿宋" w:hAnsi="仿宋" w:eastAsia="仿宋"/>
          <w:color w:val="000000"/>
        </w:rPr>
      </w:pPr>
      <w:bookmarkStart w:id="69"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9"/>
    </w:p>
    <w:p>
      <w:pPr>
        <w:pStyle w:val="4"/>
        <w:rPr>
          <w:rFonts w:ascii="仿宋" w:hAnsi="仿宋" w:eastAsia="仿宋"/>
          <w:color w:val="000000"/>
        </w:rPr>
      </w:pPr>
      <w:bookmarkStart w:id="70"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70"/>
    </w:p>
    <w:p>
      <w:pPr>
        <w:pStyle w:val="4"/>
        <w:rPr>
          <w:rFonts w:ascii="仿宋" w:hAnsi="仿宋" w:eastAsia="仿宋"/>
          <w:color w:val="000000"/>
        </w:rPr>
      </w:pPr>
      <w:bookmarkStart w:id="71"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1"/>
    </w:p>
    <w:p>
      <w:pPr>
        <w:pStyle w:val="4"/>
        <w:rPr>
          <w:rFonts w:ascii="仿宋" w:hAnsi="仿宋" w:eastAsia="仿宋"/>
          <w:color w:val="000000"/>
        </w:rPr>
      </w:pPr>
      <w:bookmarkStart w:id="72"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2"/>
    </w:p>
    <w:p>
      <w:pPr>
        <w:pStyle w:val="4"/>
        <w:rPr>
          <w:rStyle w:val="27"/>
          <w:rFonts w:hint="eastAsia" w:ascii="仿宋" w:hAnsi="仿宋" w:eastAsia="仿宋"/>
          <w:b w:val="0"/>
          <w:bCs w:val="0"/>
        </w:rPr>
      </w:pPr>
      <w:bookmarkStart w:id="73" w:name="_Toc15396631"/>
      <w:r>
        <w:rPr>
          <w:rStyle w:val="27"/>
          <w:rFonts w:hint="eastAsia" w:ascii="仿宋" w:hAnsi="仿宋" w:eastAsia="仿宋"/>
          <w:b w:val="0"/>
          <w:bCs w:val="0"/>
        </w:rPr>
        <w:t>十三、</w:t>
      </w:r>
      <w:bookmarkEnd w:id="73"/>
      <w:r>
        <w:rPr>
          <w:rStyle w:val="27"/>
          <w:rFonts w:hint="eastAsia" w:ascii="仿宋" w:hAnsi="仿宋" w:eastAsia="仿宋"/>
          <w:b w:val="0"/>
          <w:bCs w:val="0"/>
        </w:rPr>
        <w:t>国有资本经营预算财政拨款收入支出决算表</w:t>
      </w:r>
    </w:p>
    <w:p>
      <w:pPr>
        <w:pStyle w:val="4"/>
        <w:rPr>
          <w:rStyle w:val="27"/>
          <w:rFonts w:hint="eastAsia" w:ascii="仿宋" w:hAnsi="仿宋" w:eastAsia="仿宋"/>
          <w:b w:val="0"/>
          <w:bCs w:val="0"/>
          <w:lang w:eastAsia="zh-CN"/>
        </w:rPr>
      </w:pPr>
      <w:r>
        <w:rPr>
          <w:rStyle w:val="27"/>
          <w:rFonts w:hint="eastAsia" w:ascii="仿宋" w:hAnsi="仿宋" w:eastAsia="仿宋"/>
          <w:b w:val="0"/>
          <w:bCs w:val="0"/>
          <w:lang w:eastAsia="zh-CN"/>
        </w:rPr>
        <w:t>十四、国有资本经营预算财政拨款支出决算表</w:t>
      </w:r>
    </w:p>
    <w:p>
      <w:pPr>
        <w:pStyle w:val="4"/>
        <w:rPr>
          <w:rStyle w:val="27"/>
          <w:rFonts w:hint="eastAsia" w:ascii="仿宋" w:hAnsi="仿宋" w:eastAsia="仿宋"/>
          <w:b w:val="0"/>
          <w:bCs w:val="0"/>
          <w:lang w:val="en-US" w:eastAsia="zh-CN"/>
        </w:rPr>
      </w:pPr>
      <w:r>
        <w:rPr>
          <w:rStyle w:val="27"/>
          <w:rFonts w:hint="eastAsia" w:ascii="仿宋" w:hAnsi="仿宋" w:eastAsia="仿宋"/>
          <w:b w:val="0"/>
          <w:bCs w:val="0"/>
          <w:lang w:val="en-US" w:eastAsia="zh-CN"/>
        </w:rPr>
        <w:t>十五、机构运行信息表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21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69CC2"/>
    <w:multiLevelType w:val="singleLevel"/>
    <w:tmpl w:val="CDB69CC2"/>
    <w:lvl w:ilvl="0" w:tentative="0">
      <w:start w:val="2"/>
      <w:numFmt w:val="chineseCounting"/>
      <w:suff w:val="nothing"/>
      <w:lvlText w:val="（%1）"/>
      <w:lvlJc w:val="left"/>
      <w:pPr>
        <w:ind w:left="200"/>
      </w:pPr>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387943A7"/>
    <w:multiLevelType w:val="singleLevel"/>
    <w:tmpl w:val="387943A7"/>
    <w:lvl w:ilvl="0" w:tentative="0">
      <w:start w:val="2"/>
      <w:numFmt w:val="chineseCounting"/>
      <w:suff w:val="nothing"/>
      <w:lvlText w:val="（%1）"/>
      <w:lvlJc w:val="left"/>
      <w:rPr>
        <w:rFonts w:hint="eastAsia"/>
      </w:rPr>
    </w:lvl>
  </w:abstractNum>
  <w:abstractNum w:abstractNumId="6">
    <w:nsid w:val="7A5F76B6"/>
    <w:multiLevelType w:val="singleLevel"/>
    <w:tmpl w:val="7A5F76B6"/>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MwNjU2NjJjNGYyZjdmN2E1YTI1MmJlMmUwZGZkYWM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58B0"/>
    <w:rsid w:val="0014729F"/>
    <w:rsid w:val="00157BAB"/>
    <w:rsid w:val="001654D1"/>
    <w:rsid w:val="0018106D"/>
    <w:rsid w:val="001873E3"/>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2F7F38"/>
    <w:rsid w:val="003216A9"/>
    <w:rsid w:val="00324D93"/>
    <w:rsid w:val="003514BF"/>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178B"/>
    <w:rsid w:val="005664BB"/>
    <w:rsid w:val="0057481D"/>
    <w:rsid w:val="0058486E"/>
    <w:rsid w:val="005B3ECD"/>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76C1"/>
    <w:rsid w:val="00683E73"/>
    <w:rsid w:val="006A3141"/>
    <w:rsid w:val="006A5E34"/>
    <w:rsid w:val="006B2422"/>
    <w:rsid w:val="006B2B9A"/>
    <w:rsid w:val="006C0E53"/>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2A59"/>
    <w:rsid w:val="008B768C"/>
    <w:rsid w:val="008C4DB1"/>
    <w:rsid w:val="008C4EAF"/>
    <w:rsid w:val="008C5176"/>
    <w:rsid w:val="008C7FD0"/>
    <w:rsid w:val="008E1DE7"/>
    <w:rsid w:val="008E707C"/>
    <w:rsid w:val="008F3ACD"/>
    <w:rsid w:val="00900B08"/>
    <w:rsid w:val="00902155"/>
    <w:rsid w:val="00902FA3"/>
    <w:rsid w:val="0091569A"/>
    <w:rsid w:val="00923564"/>
    <w:rsid w:val="0092392E"/>
    <w:rsid w:val="009315F9"/>
    <w:rsid w:val="00933AFE"/>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27"/>
    <w:rsid w:val="00A13CC1"/>
    <w:rsid w:val="00A16847"/>
    <w:rsid w:val="00A237D8"/>
    <w:rsid w:val="00A268C4"/>
    <w:rsid w:val="00A307CD"/>
    <w:rsid w:val="00A40A00"/>
    <w:rsid w:val="00A4142F"/>
    <w:rsid w:val="00A51BAF"/>
    <w:rsid w:val="00A56DF2"/>
    <w:rsid w:val="00A62CB9"/>
    <w:rsid w:val="00A67AB5"/>
    <w:rsid w:val="00A774A5"/>
    <w:rsid w:val="00A91760"/>
    <w:rsid w:val="00A93B00"/>
    <w:rsid w:val="00A93C21"/>
    <w:rsid w:val="00AC3C6A"/>
    <w:rsid w:val="00AD5620"/>
    <w:rsid w:val="00AD7C1B"/>
    <w:rsid w:val="00AE16BA"/>
    <w:rsid w:val="00AE1EBE"/>
    <w:rsid w:val="00AF15C8"/>
    <w:rsid w:val="00B03C9D"/>
    <w:rsid w:val="00B060AE"/>
    <w:rsid w:val="00B10517"/>
    <w:rsid w:val="00B14E76"/>
    <w:rsid w:val="00B161B8"/>
    <w:rsid w:val="00B2048C"/>
    <w:rsid w:val="00B260D9"/>
    <w:rsid w:val="00B26FBB"/>
    <w:rsid w:val="00B310B9"/>
    <w:rsid w:val="00B34320"/>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CF2382"/>
    <w:rsid w:val="00D00095"/>
    <w:rsid w:val="00D20620"/>
    <w:rsid w:val="00D26091"/>
    <w:rsid w:val="00D34E7C"/>
    <w:rsid w:val="00D35489"/>
    <w:rsid w:val="00D51276"/>
    <w:rsid w:val="00D63056"/>
    <w:rsid w:val="00D7035F"/>
    <w:rsid w:val="00DA65AC"/>
    <w:rsid w:val="00DB1913"/>
    <w:rsid w:val="00DB7DBC"/>
    <w:rsid w:val="00DC410D"/>
    <w:rsid w:val="00DC68CA"/>
    <w:rsid w:val="00DC7CBA"/>
    <w:rsid w:val="00DD73B7"/>
    <w:rsid w:val="00DF28BC"/>
    <w:rsid w:val="00DF34B9"/>
    <w:rsid w:val="00E01053"/>
    <w:rsid w:val="00E07ACF"/>
    <w:rsid w:val="00E331A1"/>
    <w:rsid w:val="00E33202"/>
    <w:rsid w:val="00E336A9"/>
    <w:rsid w:val="00E50624"/>
    <w:rsid w:val="00E568DF"/>
    <w:rsid w:val="00E576C5"/>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6518D4"/>
    <w:rsid w:val="019D020D"/>
    <w:rsid w:val="02A72D56"/>
    <w:rsid w:val="037F0E97"/>
    <w:rsid w:val="03866BAE"/>
    <w:rsid w:val="04906E08"/>
    <w:rsid w:val="05665609"/>
    <w:rsid w:val="05680E80"/>
    <w:rsid w:val="056F2DD7"/>
    <w:rsid w:val="06053DCB"/>
    <w:rsid w:val="0670344A"/>
    <w:rsid w:val="069C4929"/>
    <w:rsid w:val="07164E2C"/>
    <w:rsid w:val="074E4A23"/>
    <w:rsid w:val="0780057E"/>
    <w:rsid w:val="07D76440"/>
    <w:rsid w:val="07FC6A07"/>
    <w:rsid w:val="080B15C5"/>
    <w:rsid w:val="08385181"/>
    <w:rsid w:val="08627A7D"/>
    <w:rsid w:val="08DB785C"/>
    <w:rsid w:val="091F6460"/>
    <w:rsid w:val="0938401C"/>
    <w:rsid w:val="09502692"/>
    <w:rsid w:val="09750786"/>
    <w:rsid w:val="09C6465D"/>
    <w:rsid w:val="0A5C175F"/>
    <w:rsid w:val="0A81165A"/>
    <w:rsid w:val="0AAE1F42"/>
    <w:rsid w:val="0ABD1E27"/>
    <w:rsid w:val="0B31254E"/>
    <w:rsid w:val="0B81130F"/>
    <w:rsid w:val="0BA93787"/>
    <w:rsid w:val="0C1B18B4"/>
    <w:rsid w:val="0C8A48B9"/>
    <w:rsid w:val="0CB5560E"/>
    <w:rsid w:val="0CC854AF"/>
    <w:rsid w:val="0CD87849"/>
    <w:rsid w:val="0D141724"/>
    <w:rsid w:val="0D63596C"/>
    <w:rsid w:val="0DEE1C1B"/>
    <w:rsid w:val="0E1D0A37"/>
    <w:rsid w:val="0E482ABA"/>
    <w:rsid w:val="0E5E5A27"/>
    <w:rsid w:val="0EE309CF"/>
    <w:rsid w:val="0EE6339E"/>
    <w:rsid w:val="0FB61FCB"/>
    <w:rsid w:val="0FC94BB8"/>
    <w:rsid w:val="0FF03ECF"/>
    <w:rsid w:val="1082456E"/>
    <w:rsid w:val="10A61824"/>
    <w:rsid w:val="10C055FF"/>
    <w:rsid w:val="10E11385"/>
    <w:rsid w:val="110B641A"/>
    <w:rsid w:val="11845214"/>
    <w:rsid w:val="119F5752"/>
    <w:rsid w:val="12301974"/>
    <w:rsid w:val="128E5591"/>
    <w:rsid w:val="12FF0DFF"/>
    <w:rsid w:val="1323337C"/>
    <w:rsid w:val="14217DBC"/>
    <w:rsid w:val="144650E1"/>
    <w:rsid w:val="14786DF2"/>
    <w:rsid w:val="14CC5179"/>
    <w:rsid w:val="150563D7"/>
    <w:rsid w:val="158124FB"/>
    <w:rsid w:val="166447A8"/>
    <w:rsid w:val="16BB723D"/>
    <w:rsid w:val="17A66B6C"/>
    <w:rsid w:val="17E00E27"/>
    <w:rsid w:val="185E5F0D"/>
    <w:rsid w:val="18CA50DD"/>
    <w:rsid w:val="192D4B0A"/>
    <w:rsid w:val="19782B7D"/>
    <w:rsid w:val="197F039C"/>
    <w:rsid w:val="19AE3228"/>
    <w:rsid w:val="1A1A4BEF"/>
    <w:rsid w:val="1A4E5F6F"/>
    <w:rsid w:val="1A6608C1"/>
    <w:rsid w:val="1AD309C3"/>
    <w:rsid w:val="1AE770A8"/>
    <w:rsid w:val="1AF00C3F"/>
    <w:rsid w:val="1AF02367"/>
    <w:rsid w:val="1B3C206C"/>
    <w:rsid w:val="1B423C88"/>
    <w:rsid w:val="1BFF3FD2"/>
    <w:rsid w:val="1C7D4DBE"/>
    <w:rsid w:val="1C9539B6"/>
    <w:rsid w:val="1CA465D6"/>
    <w:rsid w:val="1CB50AF6"/>
    <w:rsid w:val="1D0926D8"/>
    <w:rsid w:val="1D3D325D"/>
    <w:rsid w:val="1D5C6920"/>
    <w:rsid w:val="1D7E1B8A"/>
    <w:rsid w:val="1D871976"/>
    <w:rsid w:val="1DC70C3D"/>
    <w:rsid w:val="1E326251"/>
    <w:rsid w:val="1E592A71"/>
    <w:rsid w:val="1E5B574C"/>
    <w:rsid w:val="1E774B19"/>
    <w:rsid w:val="1F0E4E00"/>
    <w:rsid w:val="1FAD4B5E"/>
    <w:rsid w:val="1FAE1D0C"/>
    <w:rsid w:val="200D08C5"/>
    <w:rsid w:val="2011450B"/>
    <w:rsid w:val="202920F5"/>
    <w:rsid w:val="204978C9"/>
    <w:rsid w:val="204C32BC"/>
    <w:rsid w:val="20F14F56"/>
    <w:rsid w:val="20F73A71"/>
    <w:rsid w:val="21013642"/>
    <w:rsid w:val="216C4D96"/>
    <w:rsid w:val="221833EE"/>
    <w:rsid w:val="23072046"/>
    <w:rsid w:val="23396B0C"/>
    <w:rsid w:val="234E1921"/>
    <w:rsid w:val="240371BF"/>
    <w:rsid w:val="24A57890"/>
    <w:rsid w:val="24D65456"/>
    <w:rsid w:val="2587478A"/>
    <w:rsid w:val="25AF5F5F"/>
    <w:rsid w:val="25C81910"/>
    <w:rsid w:val="25CD34A7"/>
    <w:rsid w:val="266409A7"/>
    <w:rsid w:val="274B1A23"/>
    <w:rsid w:val="27C509F4"/>
    <w:rsid w:val="27F64446"/>
    <w:rsid w:val="28D263A4"/>
    <w:rsid w:val="28E430DB"/>
    <w:rsid w:val="29681010"/>
    <w:rsid w:val="29C100EB"/>
    <w:rsid w:val="29FD04D3"/>
    <w:rsid w:val="2AFB3E8A"/>
    <w:rsid w:val="2B2321ED"/>
    <w:rsid w:val="2BCC6816"/>
    <w:rsid w:val="2C731283"/>
    <w:rsid w:val="2CDD568C"/>
    <w:rsid w:val="2D0D150B"/>
    <w:rsid w:val="2D572FED"/>
    <w:rsid w:val="2DBB77E4"/>
    <w:rsid w:val="2E6D5DCF"/>
    <w:rsid w:val="2EF07F24"/>
    <w:rsid w:val="2F276F76"/>
    <w:rsid w:val="305460AE"/>
    <w:rsid w:val="30671C33"/>
    <w:rsid w:val="30830D6D"/>
    <w:rsid w:val="311E4CC4"/>
    <w:rsid w:val="31264DB3"/>
    <w:rsid w:val="319F7F4E"/>
    <w:rsid w:val="320B5BBB"/>
    <w:rsid w:val="326547E0"/>
    <w:rsid w:val="32A3760D"/>
    <w:rsid w:val="33A326E3"/>
    <w:rsid w:val="33A43D1B"/>
    <w:rsid w:val="33FF0876"/>
    <w:rsid w:val="34B5613E"/>
    <w:rsid w:val="35557B64"/>
    <w:rsid w:val="35F50EDF"/>
    <w:rsid w:val="363B49AB"/>
    <w:rsid w:val="36B92E40"/>
    <w:rsid w:val="36DB765E"/>
    <w:rsid w:val="36E52D78"/>
    <w:rsid w:val="379F191A"/>
    <w:rsid w:val="38157F43"/>
    <w:rsid w:val="387A53A2"/>
    <w:rsid w:val="38B068D2"/>
    <w:rsid w:val="3921257D"/>
    <w:rsid w:val="39521163"/>
    <w:rsid w:val="39591230"/>
    <w:rsid w:val="39CF559D"/>
    <w:rsid w:val="3A5E5FD2"/>
    <w:rsid w:val="3AFE5DC7"/>
    <w:rsid w:val="3B540FB8"/>
    <w:rsid w:val="3BE32EEC"/>
    <w:rsid w:val="3C110791"/>
    <w:rsid w:val="3C3030B1"/>
    <w:rsid w:val="3C470B98"/>
    <w:rsid w:val="3CC14590"/>
    <w:rsid w:val="3CED456E"/>
    <w:rsid w:val="3D115C01"/>
    <w:rsid w:val="3D1F26A6"/>
    <w:rsid w:val="3D62541A"/>
    <w:rsid w:val="3D6C123C"/>
    <w:rsid w:val="3DC43237"/>
    <w:rsid w:val="3E3E56D0"/>
    <w:rsid w:val="3E437624"/>
    <w:rsid w:val="3EA65D93"/>
    <w:rsid w:val="3F553F84"/>
    <w:rsid w:val="3F575F3F"/>
    <w:rsid w:val="3F5F08F0"/>
    <w:rsid w:val="3FC55605"/>
    <w:rsid w:val="404A053D"/>
    <w:rsid w:val="40F406B1"/>
    <w:rsid w:val="41283F2D"/>
    <w:rsid w:val="41AE4F5B"/>
    <w:rsid w:val="42626A7E"/>
    <w:rsid w:val="427573B9"/>
    <w:rsid w:val="42975CC0"/>
    <w:rsid w:val="42FC7EEE"/>
    <w:rsid w:val="43406EA5"/>
    <w:rsid w:val="43640C8D"/>
    <w:rsid w:val="43726164"/>
    <w:rsid w:val="4395586C"/>
    <w:rsid w:val="43992D15"/>
    <w:rsid w:val="43A02C23"/>
    <w:rsid w:val="43B810C7"/>
    <w:rsid w:val="450369B6"/>
    <w:rsid w:val="453F22AB"/>
    <w:rsid w:val="4543723E"/>
    <w:rsid w:val="45E92037"/>
    <w:rsid w:val="45F533FF"/>
    <w:rsid w:val="45F67999"/>
    <w:rsid w:val="460718D0"/>
    <w:rsid w:val="46707414"/>
    <w:rsid w:val="46761096"/>
    <w:rsid w:val="46B56547"/>
    <w:rsid w:val="47336B72"/>
    <w:rsid w:val="47934A31"/>
    <w:rsid w:val="48906FA0"/>
    <w:rsid w:val="49542693"/>
    <w:rsid w:val="49FB098E"/>
    <w:rsid w:val="4A7429C3"/>
    <w:rsid w:val="4B934FED"/>
    <w:rsid w:val="4B9922DA"/>
    <w:rsid w:val="4BA921D2"/>
    <w:rsid w:val="4C1572FA"/>
    <w:rsid w:val="4C2557A1"/>
    <w:rsid w:val="4C642CE8"/>
    <w:rsid w:val="4C760694"/>
    <w:rsid w:val="4C7C5968"/>
    <w:rsid w:val="4C866024"/>
    <w:rsid w:val="4D78509A"/>
    <w:rsid w:val="4D7F2D1C"/>
    <w:rsid w:val="4DD80E3E"/>
    <w:rsid w:val="4DDE6AAC"/>
    <w:rsid w:val="4E570E02"/>
    <w:rsid w:val="4F1E741E"/>
    <w:rsid w:val="4F8605B0"/>
    <w:rsid w:val="4FBC41E1"/>
    <w:rsid w:val="4FFF4956"/>
    <w:rsid w:val="5019773A"/>
    <w:rsid w:val="50904919"/>
    <w:rsid w:val="50B57805"/>
    <w:rsid w:val="51302B71"/>
    <w:rsid w:val="521305F1"/>
    <w:rsid w:val="52B9593E"/>
    <w:rsid w:val="52BA47EA"/>
    <w:rsid w:val="52F265D6"/>
    <w:rsid w:val="534C537F"/>
    <w:rsid w:val="53611C44"/>
    <w:rsid w:val="54AF45F1"/>
    <w:rsid w:val="54E72925"/>
    <w:rsid w:val="55133E75"/>
    <w:rsid w:val="553F1ED1"/>
    <w:rsid w:val="5563759E"/>
    <w:rsid w:val="56400925"/>
    <w:rsid w:val="567D2FAC"/>
    <w:rsid w:val="569D4BAD"/>
    <w:rsid w:val="56E57E86"/>
    <w:rsid w:val="57247ACB"/>
    <w:rsid w:val="577F3753"/>
    <w:rsid w:val="57977A37"/>
    <w:rsid w:val="57C531A9"/>
    <w:rsid w:val="585C7890"/>
    <w:rsid w:val="58934F0E"/>
    <w:rsid w:val="58ED08EC"/>
    <w:rsid w:val="5923241F"/>
    <w:rsid w:val="598C7D37"/>
    <w:rsid w:val="5A8674B7"/>
    <w:rsid w:val="5B127621"/>
    <w:rsid w:val="5B722BD2"/>
    <w:rsid w:val="5BB243CD"/>
    <w:rsid w:val="5BC72F5C"/>
    <w:rsid w:val="5C0A446A"/>
    <w:rsid w:val="5CB55867"/>
    <w:rsid w:val="5CB970F9"/>
    <w:rsid w:val="5CD938B9"/>
    <w:rsid w:val="5CF43801"/>
    <w:rsid w:val="5D0E3085"/>
    <w:rsid w:val="5DC429DB"/>
    <w:rsid w:val="5DD53F16"/>
    <w:rsid w:val="5EC04069"/>
    <w:rsid w:val="5F130570"/>
    <w:rsid w:val="5F3C2C4C"/>
    <w:rsid w:val="5F8D6CD4"/>
    <w:rsid w:val="5FE83DDC"/>
    <w:rsid w:val="5FFD314F"/>
    <w:rsid w:val="602C7B0A"/>
    <w:rsid w:val="60D51BAD"/>
    <w:rsid w:val="6100314D"/>
    <w:rsid w:val="614C380B"/>
    <w:rsid w:val="61660953"/>
    <w:rsid w:val="61787CCC"/>
    <w:rsid w:val="618E7474"/>
    <w:rsid w:val="61CC2AD1"/>
    <w:rsid w:val="61D96217"/>
    <w:rsid w:val="61F90DDB"/>
    <w:rsid w:val="6299211C"/>
    <w:rsid w:val="62D81F10"/>
    <w:rsid w:val="634A698B"/>
    <w:rsid w:val="634B3D11"/>
    <w:rsid w:val="634E7453"/>
    <w:rsid w:val="63E262CC"/>
    <w:rsid w:val="64875955"/>
    <w:rsid w:val="648F372B"/>
    <w:rsid w:val="64ED02C6"/>
    <w:rsid w:val="64FD6E47"/>
    <w:rsid w:val="65E965C1"/>
    <w:rsid w:val="66252916"/>
    <w:rsid w:val="666C38FC"/>
    <w:rsid w:val="66F031C6"/>
    <w:rsid w:val="67281B3B"/>
    <w:rsid w:val="67595EDB"/>
    <w:rsid w:val="67880D72"/>
    <w:rsid w:val="67C42A8D"/>
    <w:rsid w:val="67D15BEF"/>
    <w:rsid w:val="681F5675"/>
    <w:rsid w:val="6A023EA5"/>
    <w:rsid w:val="6A2B1D02"/>
    <w:rsid w:val="6A626080"/>
    <w:rsid w:val="6A6A03D2"/>
    <w:rsid w:val="6A8675DF"/>
    <w:rsid w:val="6AE16007"/>
    <w:rsid w:val="6B2F5F7F"/>
    <w:rsid w:val="6B7D34B9"/>
    <w:rsid w:val="6B922000"/>
    <w:rsid w:val="6BF734A9"/>
    <w:rsid w:val="6C34458A"/>
    <w:rsid w:val="6C6425DA"/>
    <w:rsid w:val="6CC124CD"/>
    <w:rsid w:val="6E907951"/>
    <w:rsid w:val="6F594757"/>
    <w:rsid w:val="6F735A4B"/>
    <w:rsid w:val="6F964DC4"/>
    <w:rsid w:val="6FFD05C9"/>
    <w:rsid w:val="70DD7914"/>
    <w:rsid w:val="713848F7"/>
    <w:rsid w:val="71744D96"/>
    <w:rsid w:val="71D45B61"/>
    <w:rsid w:val="724A0B69"/>
    <w:rsid w:val="73520AF6"/>
    <w:rsid w:val="73557246"/>
    <w:rsid w:val="73D91762"/>
    <w:rsid w:val="73F53E32"/>
    <w:rsid w:val="75A00DAA"/>
    <w:rsid w:val="7610485C"/>
    <w:rsid w:val="762F6050"/>
    <w:rsid w:val="7636360E"/>
    <w:rsid w:val="76E26C0B"/>
    <w:rsid w:val="77602A5E"/>
    <w:rsid w:val="77CD7FEF"/>
    <w:rsid w:val="78494E0D"/>
    <w:rsid w:val="79550F53"/>
    <w:rsid w:val="798858BA"/>
    <w:rsid w:val="79BA1AF0"/>
    <w:rsid w:val="7A771F91"/>
    <w:rsid w:val="7A7A4B56"/>
    <w:rsid w:val="7A94354D"/>
    <w:rsid w:val="7AF9643C"/>
    <w:rsid w:val="7BF31862"/>
    <w:rsid w:val="7D030AEF"/>
    <w:rsid w:val="7DBB53B8"/>
    <w:rsid w:val="7E545E01"/>
    <w:rsid w:val="7E9F6105"/>
    <w:rsid w:val="7F0E39D9"/>
    <w:rsid w:val="7F2D21B2"/>
    <w:rsid w:val="7F3D6C86"/>
    <w:rsid w:val="7FE760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FollowedHyperlink"/>
    <w:basedOn w:val="14"/>
    <w:unhideWhenUsed/>
    <w:qFormat/>
    <w:uiPriority w:val="99"/>
    <w:rPr>
      <w:color w:val="2786E4"/>
      <w:u w:val="none"/>
    </w:rPr>
  </w:style>
  <w:style w:type="character" w:styleId="17">
    <w:name w:val="Hyperlink"/>
    <w:basedOn w:val="14"/>
    <w:unhideWhenUsed/>
    <w:qFormat/>
    <w:uiPriority w:val="99"/>
    <w:rPr>
      <w:color w:val="0000FF" w:themeColor="hyperlink"/>
      <w:u w:val="single"/>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2"/>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列出段落111"/>
    <w:basedOn w:val="1"/>
    <w:qFormat/>
    <w:uiPriority w:val="34"/>
    <w:pPr>
      <w:ind w:firstLine="420" w:firstLineChars="200"/>
    </w:pPr>
  </w:style>
  <w:style w:type="character" w:customStyle="1" w:styleId="32">
    <w:name w:val="rec-time"/>
    <w:basedOn w:val="14"/>
    <w:qFormat/>
    <w:uiPriority w:val="0"/>
  </w:style>
  <w:style w:type="character" w:customStyle="1" w:styleId="33">
    <w:name w:val="rec-status-desc"/>
    <w:basedOn w:val="14"/>
    <w:qFormat/>
    <w:uiPriority w:val="0"/>
  </w:style>
  <w:style w:type="character" w:customStyle="1" w:styleId="34">
    <w:name w:val="rec-volume"/>
    <w:basedOn w:val="14"/>
    <w:qFormat/>
    <w:uiPriority w:val="0"/>
  </w:style>
  <w:style w:type="paragraph" w:customStyle="1" w:styleId="35">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a:t>
            </a:r>
            <a:r>
              <a:rPr lang="en-US" altLang="zh-CN"/>
              <a:t>2020</a:t>
            </a:r>
            <a:r>
              <a:rPr altLang="en-US"/>
              <a:t>年</a:t>
            </a:r>
            <a:r>
              <a:t>收、支决算总计变动情况图</a:t>
            </a:r>
          </a:p>
        </c:rich>
      </c:tx>
      <c:layout>
        <c:manualLayout>
          <c:xMode val="edge"/>
          <c:yMode val="edge"/>
          <c:x val="0.141111111111111"/>
          <c:y val="0.0451388888888889"/>
        </c:manualLayout>
      </c:layout>
      <c:overlay val="0"/>
      <c:spPr>
        <a:noFill/>
        <a:ln>
          <a:noFill/>
        </a:ln>
        <a:effectLst/>
      </c:spPr>
    </c:title>
    <c:autoTitleDeleted val="0"/>
    <c:plotArea>
      <c:layout/>
      <c:barChart>
        <c:barDir val="col"/>
        <c:grouping val="clustered"/>
        <c:varyColors val="0"/>
        <c:ser>
          <c:idx val="0"/>
          <c:order val="0"/>
          <c:tx>
            <c:strRef>
              <c:f>[工作簿1]Sheet1!$A$5</c:f>
              <c:strCache>
                <c:ptCount val="1"/>
                <c:pt idx="0">
                  <c:v>2019</c:v>
                </c:pt>
              </c:strCache>
            </c:strRef>
          </c:tx>
          <c:spPr>
            <a:solidFill>
              <a:schemeClr val="accent1"/>
            </a:solidFill>
            <a:ln>
              <a:noFill/>
            </a:ln>
            <a:effectLst/>
          </c:spPr>
          <c:invertIfNegative val="0"/>
          <c:dLbls>
            <c:delete val="1"/>
          </c:dLbls>
          <c:cat>
            <c:strRef>
              <c:f>[工作簿1]Sheet1!$B$4:$C$4</c:f>
              <c:strCache>
                <c:ptCount val="2"/>
                <c:pt idx="0">
                  <c:v>收入</c:v>
                </c:pt>
                <c:pt idx="1">
                  <c:v>支出</c:v>
                </c:pt>
              </c:strCache>
            </c:strRef>
          </c:cat>
          <c:val>
            <c:numRef>
              <c:f>[工作簿1]Sheet1!$B$5:$C$5</c:f>
              <c:numCache>
                <c:formatCode>General</c:formatCode>
                <c:ptCount val="2"/>
                <c:pt idx="0">
                  <c:v>560.21</c:v>
                </c:pt>
                <c:pt idx="1">
                  <c:v>560.21</c:v>
                </c:pt>
              </c:numCache>
            </c:numRef>
          </c:val>
        </c:ser>
        <c:ser>
          <c:idx val="1"/>
          <c:order val="1"/>
          <c:tx>
            <c:strRef>
              <c:f>[工作簿1]Sheet1!$A$6</c:f>
              <c:strCache>
                <c:ptCount val="1"/>
                <c:pt idx="0">
                  <c:v>2020</c:v>
                </c:pt>
              </c:strCache>
            </c:strRef>
          </c:tx>
          <c:spPr>
            <a:solidFill>
              <a:schemeClr val="accent2"/>
            </a:solidFill>
            <a:ln>
              <a:noFill/>
            </a:ln>
            <a:effectLst/>
          </c:spPr>
          <c:invertIfNegative val="0"/>
          <c:dLbls>
            <c:delete val="1"/>
          </c:dLbls>
          <c:cat>
            <c:strRef>
              <c:f>[工作簿1]Sheet1!$B$4:$C$4</c:f>
              <c:strCache>
                <c:ptCount val="2"/>
                <c:pt idx="0">
                  <c:v>收入</c:v>
                </c:pt>
                <c:pt idx="1">
                  <c:v>支出</c:v>
                </c:pt>
              </c:strCache>
            </c:strRef>
          </c:cat>
          <c:val>
            <c:numRef>
              <c:f>[工作簿1]Sheet1!$B$6:$C$6</c:f>
              <c:numCache>
                <c:formatCode>General</c:formatCode>
                <c:ptCount val="2"/>
                <c:pt idx="0">
                  <c:v>605.82</c:v>
                </c:pt>
                <c:pt idx="1">
                  <c:v>605.82</c:v>
                </c:pt>
              </c:numCache>
            </c:numRef>
          </c:val>
        </c:ser>
        <c:dLbls>
          <c:showLegendKey val="0"/>
          <c:showVal val="0"/>
          <c:showCatName val="0"/>
          <c:showSerName val="0"/>
          <c:showPercent val="0"/>
          <c:showBubbleSize val="0"/>
        </c:dLbls>
        <c:gapWidth val="219"/>
        <c:overlap val="-27"/>
        <c:axId val="484095824"/>
        <c:axId val="470614361"/>
      </c:barChart>
      <c:catAx>
        <c:axId val="4840958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614361"/>
        <c:crosses val="autoZero"/>
        <c:auto val="1"/>
        <c:lblAlgn val="ctr"/>
        <c:lblOffset val="100"/>
        <c:noMultiLvlLbl val="0"/>
      </c:catAx>
      <c:valAx>
        <c:axId val="470614361"/>
        <c:scaling>
          <c:orientation val="minMax"/>
          <c:min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40958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2020年收入决算结构图</a:t>
            </a:r>
          </a:p>
        </c:rich>
      </c:tx>
      <c:layout>
        <c:manualLayout>
          <c:xMode val="edge"/>
          <c:yMode val="edge"/>
          <c:x val="0.306111111111111"/>
          <c:y val="0.0312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[工作簿1]Sheet1!$A$12:$A$13</c:f>
              <c:strCache>
                <c:ptCount val="2"/>
                <c:pt idx="0">
                  <c:v>一般公共预算财政拨款收入</c:v>
                </c:pt>
                <c:pt idx="1">
                  <c:v>事业收入</c:v>
                </c:pt>
              </c:strCache>
            </c:strRef>
          </c:cat>
          <c:val>
            <c:numRef>
              <c:f>[工作簿1]Sheet1!$B$12:$B$13</c:f>
              <c:numCache>
                <c:formatCode>General</c:formatCode>
                <c:ptCount val="2"/>
                <c:pt idx="0">
                  <c:v>562.8</c:v>
                </c:pt>
                <c:pt idx="1">
                  <c:v>43.02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年支出决算结构图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[工作簿1]Sheet1!$A$14:$A$15</c:f>
              <c:strCache>
                <c:ptCount val="2"/>
                <c:pt idx="0">
                  <c:v>基本支出</c:v>
                </c:pt>
                <c:pt idx="1">
                  <c:v>项目支出</c:v>
                </c:pt>
              </c:strCache>
            </c:strRef>
          </c:cat>
          <c:val>
            <c:numRef>
              <c:f>[工作簿1]Sheet1!$B$14:$B$15</c:f>
              <c:numCache>
                <c:formatCode>General</c:formatCode>
                <c:ptCount val="2"/>
                <c:pt idx="0">
                  <c:v>478.26</c:v>
                </c:pt>
                <c:pt idx="1">
                  <c:v>127.56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a:t>
            </a:r>
            <a:r>
              <a:rPr lang="en-US" altLang="zh-CN"/>
              <a:t>2020</a:t>
            </a:r>
            <a:r>
              <a:rPr altLang="en-US"/>
              <a:t>年财政拨款收、支决算总计变动情况</a:t>
            </a:r>
            <a:endParaRPr altLang="en-US"/>
          </a:p>
        </c:rich>
      </c:tx>
      <c:layout>
        <c:manualLayout>
          <c:xMode val="edge"/>
          <c:yMode val="edge"/>
          <c:x val="0.127916666666667"/>
          <c:y val="0.031322505800464"/>
        </c:manualLayout>
      </c:layout>
      <c:overlay val="0"/>
      <c:spPr>
        <a:noFill/>
        <a:ln>
          <a:noFill/>
        </a:ln>
        <a:effectLst/>
      </c:spPr>
    </c:title>
    <c:autoTitleDeleted val="0"/>
    <c:plotArea>
      <c:layout/>
      <c:barChart>
        <c:barDir val="col"/>
        <c:grouping val="clustered"/>
        <c:varyColors val="0"/>
        <c:ser>
          <c:idx val="0"/>
          <c:order val="0"/>
          <c:tx>
            <c:strRef>
              <c:f>[工作簿1]Sheet1!$A$5</c:f>
              <c:strCache>
                <c:ptCount val="1"/>
                <c:pt idx="0">
                  <c:v>2019</c:v>
                </c:pt>
              </c:strCache>
            </c:strRef>
          </c:tx>
          <c:spPr>
            <a:solidFill>
              <a:schemeClr val="accent1"/>
            </a:solidFill>
            <a:ln>
              <a:noFill/>
            </a:ln>
            <a:effectLst/>
          </c:spPr>
          <c:invertIfNegative val="0"/>
          <c:dLbls>
            <c:delete val="1"/>
          </c:dLbls>
          <c:cat>
            <c:strRef>
              <c:f>[工作簿1]Sheet1!$B$4:$C$4</c:f>
              <c:strCache>
                <c:ptCount val="2"/>
                <c:pt idx="0">
                  <c:v>收入</c:v>
                </c:pt>
                <c:pt idx="1">
                  <c:v>支出</c:v>
                </c:pt>
              </c:strCache>
            </c:strRef>
          </c:cat>
          <c:val>
            <c:numRef>
              <c:f>[工作簿1]Sheet1!$B$5:$C$5</c:f>
              <c:numCache>
                <c:formatCode>General</c:formatCode>
                <c:ptCount val="2"/>
                <c:pt idx="0">
                  <c:v>472.16</c:v>
                </c:pt>
                <c:pt idx="1">
                  <c:v>472.16</c:v>
                </c:pt>
              </c:numCache>
            </c:numRef>
          </c:val>
        </c:ser>
        <c:ser>
          <c:idx val="1"/>
          <c:order val="1"/>
          <c:tx>
            <c:strRef>
              <c:f>[工作簿1]Sheet1!$A$6</c:f>
              <c:strCache>
                <c:ptCount val="1"/>
                <c:pt idx="0">
                  <c:v>2020</c:v>
                </c:pt>
              </c:strCache>
            </c:strRef>
          </c:tx>
          <c:spPr>
            <a:solidFill>
              <a:schemeClr val="accent2"/>
            </a:solidFill>
            <a:ln>
              <a:noFill/>
            </a:ln>
            <a:effectLst/>
          </c:spPr>
          <c:invertIfNegative val="0"/>
          <c:dLbls>
            <c:delete val="1"/>
          </c:dLbls>
          <c:cat>
            <c:strRef>
              <c:f>[工作簿1]Sheet1!$B$4:$C$4</c:f>
              <c:strCache>
                <c:ptCount val="2"/>
                <c:pt idx="0">
                  <c:v>收入</c:v>
                </c:pt>
                <c:pt idx="1">
                  <c:v>支出</c:v>
                </c:pt>
              </c:strCache>
            </c:strRef>
          </c:cat>
          <c:val>
            <c:numRef>
              <c:f>[工作簿1]Sheet1!$B$6:$C$6</c:f>
              <c:numCache>
                <c:formatCode>General</c:formatCode>
                <c:ptCount val="2"/>
                <c:pt idx="0">
                  <c:v>562.8</c:v>
                </c:pt>
                <c:pt idx="1">
                  <c:v>562.8</c:v>
                </c:pt>
              </c:numCache>
            </c:numRef>
          </c:val>
        </c:ser>
        <c:dLbls>
          <c:showLegendKey val="0"/>
          <c:showVal val="0"/>
          <c:showCatName val="0"/>
          <c:showSerName val="0"/>
          <c:showPercent val="0"/>
          <c:showBubbleSize val="0"/>
        </c:dLbls>
        <c:gapWidth val="219"/>
        <c:overlap val="-27"/>
        <c:axId val="484095824"/>
        <c:axId val="470614361"/>
      </c:barChart>
      <c:catAx>
        <c:axId val="4840958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614361"/>
        <c:crosses val="autoZero"/>
        <c:auto val="1"/>
        <c:lblAlgn val="ctr"/>
        <c:lblOffset val="100"/>
        <c:noMultiLvlLbl val="0"/>
      </c:catAx>
      <c:valAx>
        <c:axId val="470614361"/>
        <c:scaling>
          <c:orientation val="minMax"/>
          <c:min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40958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42222222222222"/>
          <c:y val="0.030787037037037"/>
        </c:manualLayout>
      </c:layout>
      <c:overlay val="0"/>
      <c:spPr>
        <a:noFill/>
        <a:ln>
          <a:noFill/>
        </a:ln>
        <a:effectLst/>
      </c:spPr>
    </c:title>
    <c:autoTitleDeleted val="0"/>
    <c:plotArea>
      <c:layout/>
      <c:barChart>
        <c:barDir val="col"/>
        <c:grouping val="clustered"/>
        <c:varyColors val="0"/>
        <c:ser>
          <c:idx val="0"/>
          <c:order val="0"/>
          <c:tx>
            <c:strRef>
              <c:f>[工作簿1]Sheet1!$M$23</c:f>
              <c:strCache>
                <c:ptCount val="1"/>
                <c:pt idx="0">
                  <c:v>支出</c:v>
                </c:pt>
              </c:strCache>
            </c:strRef>
          </c:tx>
          <c:spPr>
            <a:solidFill>
              <a:schemeClr val="accent1"/>
            </a:solidFill>
            <a:ln>
              <a:noFill/>
            </a:ln>
            <a:effectLst/>
          </c:spPr>
          <c:invertIfNegative val="0"/>
          <c:dLbls>
            <c:delete val="1"/>
          </c:dLbls>
          <c:cat>
            <c:numRef>
              <c:f>[工作簿1]Sheet1!$N$22:$O$22</c:f>
              <c:numCache>
                <c:formatCode>General</c:formatCode>
                <c:ptCount val="2"/>
                <c:pt idx="0">
                  <c:v>2019</c:v>
                </c:pt>
                <c:pt idx="1">
                  <c:v>2020</c:v>
                </c:pt>
              </c:numCache>
            </c:numRef>
          </c:cat>
          <c:val>
            <c:numRef>
              <c:f>[工作簿1]Sheet1!$N$23:$O$23</c:f>
              <c:numCache>
                <c:formatCode>General</c:formatCode>
                <c:ptCount val="2"/>
                <c:pt idx="0">
                  <c:v>472.6</c:v>
                </c:pt>
                <c:pt idx="1">
                  <c:v>562.8</c:v>
                </c:pt>
              </c:numCache>
            </c:numRef>
          </c:val>
        </c:ser>
        <c:dLbls>
          <c:showLegendKey val="0"/>
          <c:showVal val="0"/>
          <c:showCatName val="0"/>
          <c:showSerName val="0"/>
          <c:showPercent val="0"/>
          <c:showBubbleSize val="0"/>
        </c:dLbls>
        <c:gapWidth val="219"/>
        <c:overlap val="-27"/>
        <c:axId val="46774581"/>
        <c:axId val="233825909"/>
      </c:barChart>
      <c:catAx>
        <c:axId val="467745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3825909"/>
        <c:crosses val="autoZero"/>
        <c:auto val="1"/>
        <c:lblAlgn val="ctr"/>
        <c:lblOffset val="100"/>
        <c:noMultiLvlLbl val="0"/>
      </c:catAx>
      <c:valAx>
        <c:axId val="233825909"/>
        <c:scaling>
          <c:orientation val="minMax"/>
          <c:min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7458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[工作簿1]Sheet1!$A$14:$A$16</c:f>
              <c:strCache>
                <c:ptCount val="3"/>
                <c:pt idx="0">
                  <c:v>社会保障和就业类</c:v>
                </c:pt>
                <c:pt idx="1">
                  <c:v>卫生健康类</c:v>
                </c:pt>
                <c:pt idx="2">
                  <c:v>住房保障类</c:v>
                </c:pt>
              </c:strCache>
            </c:strRef>
          </c:cat>
          <c:val>
            <c:numRef>
              <c:f>[工作簿1]Sheet1!$B$14:$B$16</c:f>
              <c:numCache>
                <c:formatCode>General</c:formatCode>
                <c:ptCount val="3"/>
                <c:pt idx="0">
                  <c:v>25.11</c:v>
                </c:pt>
                <c:pt idx="1">
                  <c:v>518.86</c:v>
                </c:pt>
                <c:pt idx="2">
                  <c:v>18.83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[工作簿1]Sheet1!$A$2:$A$4</c:f>
              <c:strCache>
                <c:ptCount val="3"/>
                <c:pt idx="0">
                  <c:v>因公出国（境）</c:v>
                </c:pt>
                <c:pt idx="1">
                  <c:v>公车维运费</c:v>
                </c:pt>
                <c:pt idx="2">
                  <c:v>公务接待费</c:v>
                </c:pt>
              </c:strCache>
            </c:strRef>
          </c:cat>
          <c:val>
            <c:numRef>
              <c:f>[工作簿1]Sheet1!$B$2:$B$4</c:f>
              <c:numCache>
                <c:formatCode>General</c:formatCode>
                <c:ptCount val="3"/>
                <c:pt idx="0">
                  <c:v>0</c:v>
                </c:pt>
                <c:pt idx="1">
                  <c:v>5.84</c:v>
                </c:pt>
                <c:pt idx="2">
                  <c:v>0.26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9764</Words>
  <Characters>10517</Characters>
  <Lines>65</Lines>
  <Paragraphs>18</Paragraphs>
  <TotalTime>10</TotalTime>
  <ScaleCrop>false</ScaleCrop>
  <LinksUpToDate>false</LinksUpToDate>
  <CharactersWithSpaces>10586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2020-08-10T04:06:00Z</dcterms:created>
  <dc:creator>张彬茜</dc:creator>
  <cp:lastModifiedBy>XxxsYyyy</cp:lastModifiedBy>
  <cp:lastPrinted>2020-08-10T08:26:00Z</cp:lastPrinted>
  <dcterms:modified xsi:type="dcterms:W3CDTF">2022-07-07T07:57:39Z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11D263B65C074461B9EA83031E67F5A6</vt:lpwstr>
  </property>
</Properties>
</file>