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spacing w:line="600" w:lineRule="exact"/>
        <w:ind w:firstLine="880" w:firstLineChars="200"/>
        <w:jc w:val="center"/>
        <w:rPr>
          <w:rFonts w:hint="eastAsia" w:ascii="Times New Roman" w:hAnsi="Times New Roman" w:eastAsia="方正小标宋_GBK" w:cs="Times New Roman"/>
          <w:sz w:val="44"/>
          <w:szCs w:val="44"/>
          <w:highlight w:val="none"/>
          <w:lang w:val="en-US" w:eastAsia="zh-CN"/>
        </w:rPr>
      </w:pPr>
    </w:p>
    <w:p>
      <w:pPr>
        <w:spacing w:line="600" w:lineRule="exact"/>
        <w:ind w:firstLine="880" w:firstLineChars="200"/>
        <w:jc w:val="center"/>
        <w:rPr>
          <w:rFonts w:hint="eastAsia" w:ascii="Times New Roman" w:hAnsi="Times New Roman" w:eastAsia="方正小标宋_GBK" w:cs="Times New Roman"/>
          <w:sz w:val="44"/>
          <w:szCs w:val="44"/>
          <w:highlight w:val="none"/>
          <w:lang w:val="en-US" w:eastAsia="zh-CN"/>
        </w:rPr>
      </w:pPr>
    </w:p>
    <w:p>
      <w:pPr>
        <w:spacing w:line="600" w:lineRule="exact"/>
        <w:ind w:firstLine="880" w:firstLineChars="200"/>
        <w:jc w:val="center"/>
        <w:rPr>
          <w:rFonts w:hint="eastAsia" w:ascii="Times New Roman" w:hAnsi="Times New Roman" w:eastAsia="方正小标宋_GBK" w:cs="Times New Roman"/>
          <w:sz w:val="44"/>
          <w:szCs w:val="44"/>
          <w:highlight w:val="none"/>
          <w:lang w:val="en-US" w:eastAsia="zh-CN"/>
        </w:rPr>
      </w:pPr>
    </w:p>
    <w:p>
      <w:pPr>
        <w:spacing w:line="600" w:lineRule="exact"/>
        <w:ind w:firstLine="880" w:firstLineChars="200"/>
        <w:jc w:val="center"/>
        <w:rPr>
          <w:rFonts w:hint="eastAsia" w:ascii="Times New Roman" w:hAnsi="Times New Roman" w:eastAsia="方正小标宋_GBK" w:cs="Times New Roman"/>
          <w:sz w:val="44"/>
          <w:szCs w:val="44"/>
          <w:highlight w:val="none"/>
          <w:lang w:val="en-US" w:eastAsia="zh-CN"/>
        </w:rPr>
      </w:pPr>
    </w:p>
    <w:p>
      <w:pPr>
        <w:spacing w:line="600" w:lineRule="exact"/>
        <w:jc w:val="center"/>
        <w:rPr>
          <w:rFonts w:hint="eastAsia" w:ascii="Times New Roman" w:hAnsi="Times New Roman" w:eastAsia="方正小标宋_GBK" w:cs="Times New Roman"/>
          <w:sz w:val="44"/>
          <w:szCs w:val="44"/>
          <w:highlight w:val="none"/>
          <w:lang w:val="en-US" w:eastAsia="zh-CN"/>
        </w:rPr>
      </w:pPr>
    </w:p>
    <w:p>
      <w:pPr>
        <w:spacing w:line="600" w:lineRule="exact"/>
        <w:jc w:val="center"/>
        <w:rPr>
          <w:rFonts w:hint="eastAsia" w:ascii="Times New Roman" w:hAnsi="Times New Roman" w:eastAsia="方正小标宋_GBK" w:cs="Times New Roman"/>
          <w:sz w:val="44"/>
          <w:szCs w:val="44"/>
          <w:highlight w:val="none"/>
          <w:lang w:val="en-US" w:eastAsia="zh-CN"/>
        </w:rPr>
      </w:pPr>
    </w:p>
    <w:p>
      <w:pPr>
        <w:spacing w:line="600" w:lineRule="exact"/>
        <w:jc w:val="center"/>
        <w:rPr>
          <w:rFonts w:hint="eastAsia" w:ascii="Times New Roman" w:hAnsi="Times New Roman" w:eastAsia="方正小标宋_GBK" w:cs="Times New Roman"/>
          <w:sz w:val="44"/>
          <w:szCs w:val="44"/>
          <w:highlight w:val="none"/>
          <w:lang w:val="en-US" w:eastAsia="zh-CN"/>
        </w:rPr>
      </w:pPr>
    </w:p>
    <w:p>
      <w:pPr>
        <w:spacing w:line="600" w:lineRule="exact"/>
        <w:jc w:val="center"/>
        <w:rPr>
          <w:rFonts w:hint="eastAsia" w:ascii="Times New Roman" w:hAnsi="Times New Roman" w:eastAsia="方正小标宋_GBK" w:cs="Times New Roman"/>
          <w:sz w:val="44"/>
          <w:szCs w:val="44"/>
          <w:highlight w:val="none"/>
          <w:lang w:val="en-US" w:eastAsia="zh-CN"/>
        </w:rPr>
      </w:pPr>
    </w:p>
    <w:p>
      <w:pPr>
        <w:spacing w:line="600" w:lineRule="exact"/>
        <w:jc w:val="center"/>
        <w:rPr>
          <w:rFonts w:hint="eastAsia"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广安市前锋区疾病预防控制中心</w:t>
      </w:r>
    </w:p>
    <w:p>
      <w:pPr>
        <w:spacing w:line="600" w:lineRule="exact"/>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年部门预算编制说明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spacing w:line="600" w:lineRule="exact"/>
        <w:jc w:val="center"/>
        <w:rPr>
          <w:rFonts w:hint="eastAsia"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目  录</w:t>
      </w:r>
    </w:p>
    <w:p>
      <w:pPr>
        <w:jc w:val="center"/>
        <w:rPr>
          <w:rFonts w:hint="default" w:ascii="Times New Roman" w:hAnsi="Times New Roman" w:eastAsia="方正小标宋_GBK" w:cs="Times New Roman"/>
          <w:sz w:val="44"/>
          <w:szCs w:val="44"/>
          <w:highlight w:val="none"/>
          <w:lang w:eastAsia="zh-CN"/>
        </w:rPr>
      </w:pP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一、基本职能及主要工作...........................................................1</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lang w:val="en-US" w:eastAsia="zh-CN"/>
        </w:rPr>
        <w:t>广安市前锋区疾病预防控制中心（简称疾控中心）</w:t>
      </w:r>
      <w:r>
        <w:rPr>
          <w:rFonts w:hint="eastAsia" w:ascii="Times New Roman" w:hAnsi="Times New Roman" w:eastAsia="仿宋_GB2312" w:cs="Times New Roman"/>
          <w:sz w:val="32"/>
          <w:szCs w:val="32"/>
          <w:highlight w:val="none"/>
          <w:lang w:eastAsia="zh-CN"/>
        </w:rPr>
        <w:t>职能简介</w:t>
      </w:r>
      <w:r>
        <w:rPr>
          <w:rFonts w:hint="eastAsia" w:ascii="Times New Roman" w:hAnsi="Times New Roman" w:eastAsia="仿宋_GB2312" w:cs="Times New Roman"/>
          <w:sz w:val="32"/>
          <w:szCs w:val="32"/>
          <w:highlight w:val="none"/>
          <w:lang w:val="en-US" w:eastAsia="zh-CN"/>
        </w:rPr>
        <w:t>.......................................................................................1</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lang w:val="en-US" w:eastAsia="zh-CN"/>
        </w:rPr>
        <w:t>广安市前锋区疾病预防控制中心（简称疾控中心）2022</w:t>
      </w:r>
      <w:r>
        <w:rPr>
          <w:rFonts w:hint="eastAsia" w:ascii="Times New Roman" w:hAnsi="Times New Roman" w:eastAsia="仿宋_GB2312" w:cs="Times New Roman"/>
          <w:sz w:val="32"/>
          <w:szCs w:val="32"/>
          <w:highlight w:val="none"/>
          <w:lang w:eastAsia="zh-CN"/>
        </w:rPr>
        <w:t>年重点工作</w:t>
      </w:r>
      <w:r>
        <w:rPr>
          <w:rFonts w:hint="eastAsia" w:ascii="Times New Roman" w:hAnsi="Times New Roman" w:eastAsia="黑体" w:cs="Times New Roman"/>
          <w:kern w:val="0"/>
          <w:sz w:val="32"/>
          <w:szCs w:val="32"/>
          <w:highlight w:val="none"/>
          <w:lang w:val="en-US" w:eastAsia="zh-CN" w:bidi="ar"/>
        </w:rPr>
        <w:t>..........................................................................1</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二、部门构成情况.......................................................................2</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三、收支预算情况.......................................................................2</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（一）收入预算情况</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（二）支出预算情况</w:t>
      </w:r>
      <w:r>
        <w:rPr>
          <w:rFonts w:hint="eastAsia" w:ascii="Times New Roman" w:hAnsi="Times New Roman" w:eastAsia="黑体" w:cs="Times New Roman"/>
          <w:kern w:val="0"/>
          <w:sz w:val="32"/>
          <w:szCs w:val="32"/>
          <w:highlight w:val="none"/>
          <w:lang w:val="en-US" w:eastAsia="zh-CN" w:bidi="ar"/>
        </w:rPr>
        <w:t>...........................................................3</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四、财政拨款收支预算情况.......................................................3</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五、一般公共预算当年拨款情况...............................................3</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（一）一般公共预算当年拨款规模变化情况</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（二）一般公共预算当年拨款结构情况</w:t>
      </w:r>
      <w:r>
        <w:rPr>
          <w:rFonts w:hint="eastAsia" w:ascii="Times New Roman" w:hAnsi="Times New Roman" w:eastAsia="黑体" w:cs="Times New Roman"/>
          <w:kern w:val="0"/>
          <w:sz w:val="32"/>
          <w:szCs w:val="32"/>
          <w:highlight w:val="none"/>
          <w:lang w:val="en-US" w:eastAsia="zh-CN" w:bidi="ar"/>
        </w:rPr>
        <w:t>...........................4</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（三）一般公共预算当年拨款具体使用情况</w:t>
      </w:r>
      <w:r>
        <w:rPr>
          <w:rFonts w:hint="eastAsia" w:ascii="Times New Roman" w:hAnsi="Times New Roman" w:eastAsia="黑体" w:cs="Times New Roman"/>
          <w:kern w:val="0"/>
          <w:sz w:val="32"/>
          <w:szCs w:val="32"/>
          <w:highlight w:val="none"/>
          <w:lang w:val="en-US" w:eastAsia="zh-CN" w:bidi="ar"/>
        </w:rPr>
        <w:t>...................4</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六、一般公共预算基本支出情况说明.......................................5</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七、“三公”经费财政拨款预算安排情况说明.......................5</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八、政府性基金预算支出情况说明...........................................6</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九、国有资本经营预算情况说明...............................................6</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十、其他重要事项的情况说明...................................................7</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（一）机关运行经费情况</w:t>
      </w:r>
      <w:r>
        <w:rPr>
          <w:rFonts w:hint="eastAsia" w:ascii="Times New Roman" w:hAnsi="Times New Roman" w:eastAsia="黑体" w:cs="Times New Roman"/>
          <w:kern w:val="0"/>
          <w:sz w:val="32"/>
          <w:szCs w:val="32"/>
          <w:highlight w:val="none"/>
          <w:lang w:val="en-US" w:eastAsia="zh-CN" w:bidi="ar"/>
        </w:rPr>
        <w:t>...................................................7</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（二）政府采购情况</w:t>
      </w:r>
      <w:r>
        <w:rPr>
          <w:rFonts w:hint="eastAsia" w:ascii="Times New Roman" w:hAnsi="Times New Roman" w:eastAsia="黑体" w:cs="Times New Roman"/>
          <w:kern w:val="0"/>
          <w:sz w:val="32"/>
          <w:szCs w:val="32"/>
          <w:highlight w:val="none"/>
          <w:lang w:val="en-US" w:eastAsia="zh-CN" w:bidi="ar"/>
        </w:rPr>
        <w:t>...........................................................7</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（三）国有资产占有使用情况</w:t>
      </w:r>
      <w:r>
        <w:rPr>
          <w:rFonts w:hint="eastAsia" w:ascii="Times New Roman" w:hAnsi="Times New Roman" w:eastAsia="黑体" w:cs="Times New Roman"/>
          <w:kern w:val="0"/>
          <w:sz w:val="32"/>
          <w:szCs w:val="32"/>
          <w:highlight w:val="none"/>
          <w:lang w:val="en-US" w:eastAsia="zh-CN" w:bidi="ar"/>
        </w:rPr>
        <w:t>...........................................7</w:t>
      </w:r>
    </w:p>
    <w:p>
      <w:pPr>
        <w:spacing w:line="60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（四）预算绩效情况</w:t>
      </w:r>
      <w:r>
        <w:rPr>
          <w:rFonts w:hint="eastAsia" w:ascii="Times New Roman" w:hAnsi="Times New Roman" w:eastAsia="黑体" w:cs="Times New Roman"/>
          <w:kern w:val="0"/>
          <w:sz w:val="32"/>
          <w:szCs w:val="32"/>
          <w:highlight w:val="none"/>
          <w:lang w:val="en-US" w:eastAsia="zh-CN" w:bidi="ar"/>
        </w:rPr>
        <w:t>...........................................................7</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十一、名词解释...........................................................................7</w:t>
      </w:r>
    </w:p>
    <w:p>
      <w:pPr>
        <w:spacing w:line="600" w:lineRule="exact"/>
        <w:jc w:val="left"/>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十二、附件...................................................................................9</w:t>
      </w:r>
    </w:p>
    <w:p>
      <w:pPr>
        <w:spacing w:line="600" w:lineRule="exact"/>
        <w:ind w:firstLine="84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仿宋_GB2312" w:cs="Times New Roman"/>
          <w:sz w:val="32"/>
          <w:szCs w:val="32"/>
          <w:highlight w:val="none"/>
          <w:lang w:eastAsia="zh-CN"/>
        </w:rPr>
        <w:t>表1 部门收支总表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表1-1 部门收入总表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表1-2 部门支出总表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表2 财政拨款收支预算总表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表2-1财政拨款支出预算表（部门经济分类科目）</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表3 一般公共预算支出预算表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表3-1 一般公共预算基本支出预算表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表3-2一般公共预算项目支出预算表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表3-3 一般公共预算“三公”经费支出预算表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表4 政府性基金预算支出预算表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表4-1 政府性基金预算“三公”经费支出预算表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表5 国有资本经营预算支出预算表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表6 部门预算项目绩效目标表</w:t>
      </w:r>
    </w:p>
    <w:p>
      <w:pPr>
        <w:spacing w:line="600" w:lineRule="exact"/>
        <w:ind w:firstLine="960" w:firstLineChars="300"/>
        <w:jc w:val="lef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表</w:t>
      </w:r>
      <w:r>
        <w:rPr>
          <w:rFonts w:hint="eastAsia" w:ascii="Times New Roman" w:hAnsi="Times New Roman" w:eastAsia="仿宋_GB2312" w:cs="Times New Roman"/>
          <w:sz w:val="32"/>
          <w:szCs w:val="32"/>
          <w:highlight w:val="none"/>
          <w:lang w:val="en-US" w:eastAsia="zh-CN"/>
        </w:rPr>
        <w:t>7 部门整体支出绩效目标表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Times New Roman" w:hAnsi="Times New Roman" w:eastAsia="宋体" w:cs="宋体"/>
          <w:i w:val="0"/>
          <w:iCs w:val="0"/>
          <w:caps w:val="0"/>
          <w:color w:val="000000"/>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sectPr>
          <w:pgSz w:w="11906" w:h="16838"/>
          <w:pgMar w:top="1440" w:right="1706" w:bottom="1440" w:left="1800" w:header="851" w:footer="992" w:gutter="0"/>
          <w:pgNumType w:fmt="decimal" w:start="1"/>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黑体_GBK" w:cs="方正黑体_GBK"/>
          <w:b w:val="0"/>
          <w:bCs w:val="0"/>
          <w:i w:val="0"/>
          <w:iCs w:val="0"/>
          <w:caps w:val="0"/>
          <w:color w:val="000000"/>
          <w:spacing w:val="0"/>
          <w:sz w:val="33"/>
          <w:szCs w:val="33"/>
        </w:rPr>
      </w:pPr>
      <w:r>
        <w:rPr>
          <w:rFonts w:hint="eastAsia" w:ascii="Times New Roman" w:hAnsi="Times New Roman" w:eastAsia="方正黑体_GBK" w:cs="方正黑体_GBK"/>
          <w:b w:val="0"/>
          <w:bCs w:val="0"/>
          <w:i w:val="0"/>
          <w:iCs w:val="0"/>
          <w:caps w:val="0"/>
          <w:color w:val="000000"/>
          <w:spacing w:val="0"/>
          <w:sz w:val="33"/>
          <w:szCs w:val="33"/>
          <w:shd w:val="clear" w:fill="FFFFFF"/>
        </w:rPr>
        <w:t>一、基本职能及主要工作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textAlignment w:val="auto"/>
        <w:rPr>
          <w:rFonts w:hint="eastAsia" w:ascii="Times New Roman" w:hAnsi="Times New Roman" w:eastAsia="方正楷体_GBK" w:cs="方正楷体_GBK"/>
          <w:i w:val="0"/>
          <w:iCs w:val="0"/>
          <w:caps w:val="0"/>
          <w:color w:val="000000"/>
          <w:spacing w:val="0"/>
          <w:sz w:val="33"/>
          <w:szCs w:val="33"/>
        </w:rPr>
      </w:pPr>
      <w:r>
        <w:rPr>
          <w:rFonts w:hint="eastAsia" w:ascii="Times New Roman" w:hAnsi="Times New Roman" w:eastAsia="方正楷体_GBK" w:cs="方正楷体_GBK"/>
          <w:b/>
          <w:bCs/>
          <w:i w:val="0"/>
          <w:iCs w:val="0"/>
          <w:caps w:val="0"/>
          <w:color w:val="000000"/>
          <w:spacing w:val="0"/>
          <w:sz w:val="33"/>
          <w:szCs w:val="33"/>
          <w:shd w:val="clear" w:fill="FFFFFF"/>
        </w:rPr>
        <w:t>（一）</w:t>
      </w:r>
      <w:r>
        <w:rPr>
          <w:rFonts w:hint="eastAsia" w:ascii="Times New Roman" w:hAnsi="Times New Roman" w:eastAsia="方正楷体_GBK" w:cs="方正楷体_GBK"/>
          <w:b/>
          <w:bCs/>
          <w:i w:val="0"/>
          <w:iCs w:val="0"/>
          <w:caps w:val="0"/>
          <w:color w:val="000000"/>
          <w:spacing w:val="0"/>
          <w:sz w:val="33"/>
          <w:szCs w:val="33"/>
          <w:shd w:val="clear" w:fill="FFFFFF"/>
          <w:lang w:val="en-US" w:eastAsia="zh-CN"/>
        </w:rPr>
        <w:t>广安市前锋区疾病预防控制中心（以下简称疾控中心）</w:t>
      </w:r>
      <w:r>
        <w:rPr>
          <w:rFonts w:hint="eastAsia" w:ascii="Times New Roman" w:hAnsi="Times New Roman" w:eastAsia="方正楷体_GBK" w:cs="方正楷体_GBK"/>
          <w:b/>
          <w:bCs/>
          <w:i w:val="0"/>
          <w:iCs w:val="0"/>
          <w:caps w:val="0"/>
          <w:color w:val="000000"/>
          <w:spacing w:val="0"/>
          <w:sz w:val="33"/>
          <w:szCs w:val="33"/>
          <w:shd w:val="clear" w:fill="FFFFFF"/>
        </w:rPr>
        <w:t>职能简介。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1.负责传染病、寄生虫病、地方病、非传染性疾病等预防与控制。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2.负责突发公共卫生事件和灾害疫情应急处置。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3.承担疫情及健康相关因素信息管理，开展疾病监测，收集、报告、分析和评价疾病与健康危害因素等公共卫生信息。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4.承担健康危害因素监测与干预，开展食源性、职业性、放射性、环境性等疾病的监测评价和流行病学调查，开展公众健康和营养状况监测与评价，提出干预策略与措施。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5.承担疾病病原微生物检测、鉴定和物理、化学因子检测、评价。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6.承担健康教育与健康促进，对公众进行健康指导和不良健康行为干预。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7.承担疾病预防控制技术管理与应用研究指导。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（二）</w:t>
      </w:r>
      <w:r>
        <w:rPr>
          <w:rFonts w:hint="eastAsia" w:ascii="Times New Roman" w:hAnsi="Times New Roman" w:eastAsia="方正楷体_GBK" w:cs="方正楷体_GBK"/>
          <w:b/>
          <w:bCs/>
          <w:i w:val="0"/>
          <w:iCs w:val="0"/>
          <w:caps w:val="0"/>
          <w:color w:val="000000"/>
          <w:spacing w:val="0"/>
          <w:sz w:val="33"/>
          <w:szCs w:val="33"/>
          <w:shd w:val="clear" w:fill="FFFFFF"/>
          <w:lang w:val="en-US" w:eastAsia="zh-CN"/>
        </w:rPr>
        <w:t>广安市前锋区疾病预防控制中心</w:t>
      </w:r>
      <w:r>
        <w:rPr>
          <w:rFonts w:hint="eastAsia" w:ascii="Times New Roman" w:hAnsi="Times New Roman" w:eastAsia="方正楷体_GBK" w:cs="方正楷体_GBK"/>
          <w:b/>
          <w:bCs/>
          <w:i w:val="0"/>
          <w:iCs w:val="0"/>
          <w:caps w:val="0"/>
          <w:color w:val="000000"/>
          <w:spacing w:val="0"/>
          <w:sz w:val="33"/>
          <w:szCs w:val="33"/>
          <w:shd w:val="clear" w:fill="FFFFFF"/>
        </w:rPr>
        <w:t>2022年重点工作。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一是流行病学调查及信息处置工作。二是疫情防控指导培训，对商超、养老机构、农贸市场、学校、医疗机构等重点场所进行防控指导，对全区医疗机构开展疫情防控业务培训。三是艾滋病防控工作。四是结核病防控工作。五是免疫规划工作，抓好一类疫苗的下发工作。六是地方病及慢性病防控工作。七是卫生监测工作，组织对全区公共场所卫生监测，城乡饮用水卫生监测，学校卫生监测，食源性疾病监测，重点职业病及放射性疾病监测，人群合理膳食指导工作稳步推进，消毒质量监测。八是检验检测工作。九是加强疾控机构队伍建设，提高疾控工作人员整体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二、部门预算单位构成情况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w:t>
      </w:r>
      <w:r>
        <w:rPr>
          <w:rFonts w:hint="eastAsia" w:ascii="Times New Roman" w:hAnsi="Times New Roman" w:eastAsia="方正仿宋_GBK" w:cs="方正仿宋_GBK"/>
          <w:i w:val="0"/>
          <w:iCs w:val="0"/>
          <w:caps w:val="0"/>
          <w:color w:val="000000"/>
          <w:spacing w:val="0"/>
          <w:sz w:val="33"/>
          <w:szCs w:val="33"/>
          <w:shd w:val="clear" w:fill="FFFFFF"/>
          <w:lang w:val="en-US" w:eastAsia="zh-CN"/>
        </w:rPr>
        <w:t>下属二级单位1个，其中行政单位0个，参照公务员法管理的事业单位0个，其他</w:t>
      </w:r>
      <w:bookmarkStart w:id="0" w:name="_GoBack"/>
      <w:bookmarkEnd w:id="0"/>
      <w:r>
        <w:rPr>
          <w:rFonts w:hint="eastAsia" w:ascii="Times New Roman" w:hAnsi="Times New Roman" w:eastAsia="方正仿宋_GBK" w:cs="方正仿宋_GBK"/>
          <w:i w:val="0"/>
          <w:iCs w:val="0"/>
          <w:caps w:val="0"/>
          <w:color w:val="000000"/>
          <w:spacing w:val="0"/>
          <w:sz w:val="33"/>
          <w:szCs w:val="33"/>
          <w:shd w:val="clear" w:fill="FFFFFF"/>
          <w:lang w:val="en-US" w:eastAsia="zh-CN"/>
        </w:rPr>
        <w:t>事业单位1个。部门内部机构组成：</w:t>
      </w:r>
      <w:r>
        <w:rPr>
          <w:rFonts w:hint="eastAsia" w:ascii="Times New Roman" w:hAnsi="Times New Roman" w:eastAsia="方正仿宋_GBK" w:cs="方正仿宋_GBK"/>
          <w:i w:val="0"/>
          <w:iCs w:val="0"/>
          <w:caps w:val="0"/>
          <w:color w:val="000000"/>
          <w:spacing w:val="0"/>
          <w:sz w:val="33"/>
          <w:szCs w:val="33"/>
          <w:shd w:val="clear" w:fill="FFFFFF"/>
        </w:rPr>
        <w:t>党政办公室、财务总务科、质量控制科、检验科、急性传染病防治科、重大传染病防治科、地方病慢性病寄生虫病防治科、免疫规划科、卫生监测科、健康教育和科教信息科。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三、收支预算情况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按照综合预算的原则，疾控中心所有收入和支出均纳入部门预算管理。收入包括：一般公共预算拨款收入；支出包括：社会保障和就业支出、卫生健康支出、住房保障支出。疾控中心2022年收支预算总数</w:t>
      </w:r>
      <w:r>
        <w:rPr>
          <w:rFonts w:hint="eastAsia" w:ascii="Times New Roman" w:hAnsi="Times New Roman" w:eastAsia="方正仿宋_GBK" w:cs="方正仿宋_GBK"/>
          <w:i w:val="0"/>
          <w:iCs w:val="0"/>
          <w:caps w:val="0"/>
          <w:color w:val="000000"/>
          <w:spacing w:val="0"/>
          <w:sz w:val="33"/>
          <w:szCs w:val="33"/>
          <w:shd w:val="clear" w:fill="FFFFFF"/>
          <w:lang w:val="en-US" w:eastAsia="zh-CN"/>
        </w:rPr>
        <w:t>760.24</w:t>
      </w:r>
      <w:r>
        <w:rPr>
          <w:rFonts w:hint="eastAsia" w:ascii="Times New Roman" w:hAnsi="Times New Roman" w:eastAsia="方正仿宋_GBK" w:cs="方正仿宋_GBK"/>
          <w:i w:val="0"/>
          <w:iCs w:val="0"/>
          <w:caps w:val="0"/>
          <w:color w:val="000000"/>
          <w:spacing w:val="0"/>
          <w:sz w:val="33"/>
          <w:szCs w:val="33"/>
          <w:shd w:val="clear" w:fill="FFFFFF"/>
        </w:rPr>
        <w:t>万元，比2021年收支预算总数增加215.63万元，主要原因是新冠疫情核酸检测相关支出增加，P2实验室维保支出增加，新进人员经费支出增加。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（一）收入预算情况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疾控中心2022年收入预算760.24万元，其中：上年结转0万元，占0%；一般公共预算拨款收入760.24万元，占100%；政府性基金预算拨款收入0万元，占0%；事业收入0万元，占0%。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（二）支出预算情况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疾控中心2022年支出预算760.24万元，其中：基本支出531.94万元，占69.97%；项目支出228.3万元，占30.03%。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四、财政拨款收支预算情况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疾控中心2022年财政拨款收支预算总数760.24万元，比2021年财政拨款收支预算总数增加215.63万元，主要原因是新冠疫情核酸检测相关支出增加，P2实验室维保支出增加，新进人员经费支出增加。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收入包括：本年一般公共预算拨款收入760.24万元、本年政府性基金预算拨款收入0万元；支出包括：社会保障和就业支出49.55万元、卫生健康支出673.53万元、住房保障支出37.16万元。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五、一般公共预算当年拨款情况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（一）一般公共预算当年拨款规模变化情况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疾控中心2022年一般公共预算当年拨款760.24万元，比2021年预算数增加215.63万元，主要原因是新冠疫情核酸检测相关支出增加，P2实验室维保支出增加，新进人员经费支出增加。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（二）一般公共预算当年拨款结构情况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lang w:val="en-US" w:eastAsia="zh-CN"/>
        </w:rPr>
        <w:t>社会保障和就业支出</w:t>
      </w:r>
      <w:r>
        <w:rPr>
          <w:rFonts w:hint="eastAsia" w:ascii="Times New Roman" w:hAnsi="Times New Roman" w:eastAsia="方正仿宋_GBK" w:cs="方正仿宋_GBK"/>
          <w:i w:val="0"/>
          <w:iCs w:val="0"/>
          <w:caps w:val="0"/>
          <w:color w:val="000000"/>
          <w:spacing w:val="0"/>
          <w:sz w:val="33"/>
          <w:szCs w:val="33"/>
          <w:shd w:val="clear" w:fill="FFFFFF"/>
        </w:rPr>
        <w:t>49.55万元，占6.52%；</w:t>
      </w:r>
      <w:r>
        <w:rPr>
          <w:rFonts w:hint="eastAsia" w:ascii="Times New Roman" w:hAnsi="Times New Roman" w:eastAsia="方正仿宋_GBK" w:cs="方正仿宋_GBK"/>
          <w:i w:val="0"/>
          <w:iCs w:val="0"/>
          <w:caps w:val="0"/>
          <w:color w:val="000000"/>
          <w:spacing w:val="0"/>
          <w:sz w:val="33"/>
          <w:szCs w:val="33"/>
          <w:shd w:val="clear" w:fill="FFFFFF"/>
          <w:lang w:val="en-US" w:eastAsia="zh-CN"/>
        </w:rPr>
        <w:t>卫生健康</w:t>
      </w:r>
      <w:r>
        <w:rPr>
          <w:rFonts w:hint="eastAsia" w:ascii="Times New Roman" w:hAnsi="Times New Roman" w:eastAsia="方正仿宋_GBK" w:cs="方正仿宋_GBK"/>
          <w:i w:val="0"/>
          <w:iCs w:val="0"/>
          <w:caps w:val="0"/>
          <w:color w:val="000000"/>
          <w:spacing w:val="0"/>
          <w:sz w:val="33"/>
          <w:szCs w:val="33"/>
          <w:shd w:val="clear" w:fill="FFFFFF"/>
        </w:rPr>
        <w:t>支出</w:t>
      </w:r>
      <w:r>
        <w:rPr>
          <w:rFonts w:hint="eastAsia" w:ascii="Times New Roman" w:hAnsi="Times New Roman" w:eastAsia="方正仿宋_GBK" w:cs="方正仿宋_GBK"/>
          <w:i w:val="0"/>
          <w:iCs w:val="0"/>
          <w:caps w:val="0"/>
          <w:color w:val="000000"/>
          <w:spacing w:val="0"/>
          <w:sz w:val="33"/>
          <w:szCs w:val="33"/>
          <w:shd w:val="clear" w:fill="FFFFFF"/>
          <w:lang w:val="en-US" w:eastAsia="zh-CN"/>
        </w:rPr>
        <w:t>673.53</w:t>
      </w:r>
      <w:r>
        <w:rPr>
          <w:rFonts w:hint="eastAsia" w:ascii="Times New Roman" w:hAnsi="Times New Roman" w:eastAsia="方正仿宋_GBK" w:cs="方正仿宋_GBK"/>
          <w:i w:val="0"/>
          <w:iCs w:val="0"/>
          <w:caps w:val="0"/>
          <w:color w:val="000000"/>
          <w:spacing w:val="0"/>
          <w:sz w:val="33"/>
          <w:szCs w:val="33"/>
          <w:shd w:val="clear" w:fill="FFFFFF"/>
        </w:rPr>
        <w:t>万元，占</w:t>
      </w:r>
      <w:r>
        <w:rPr>
          <w:rFonts w:hint="eastAsia" w:ascii="Times New Roman" w:hAnsi="Times New Roman" w:eastAsia="方正仿宋_GBK" w:cs="方正仿宋_GBK"/>
          <w:i w:val="0"/>
          <w:iCs w:val="0"/>
          <w:caps w:val="0"/>
          <w:color w:val="000000"/>
          <w:spacing w:val="0"/>
          <w:sz w:val="33"/>
          <w:szCs w:val="33"/>
          <w:shd w:val="clear" w:fill="FFFFFF"/>
          <w:lang w:val="en-US" w:eastAsia="zh-CN"/>
        </w:rPr>
        <w:t>88.59</w:t>
      </w:r>
      <w:r>
        <w:rPr>
          <w:rFonts w:hint="eastAsia" w:ascii="Times New Roman" w:hAnsi="Times New Roman" w:eastAsia="方正仿宋_GBK" w:cs="方正仿宋_GBK"/>
          <w:i w:val="0"/>
          <w:iCs w:val="0"/>
          <w:caps w:val="0"/>
          <w:color w:val="000000"/>
          <w:spacing w:val="0"/>
          <w:sz w:val="33"/>
          <w:szCs w:val="33"/>
          <w:shd w:val="clear" w:fill="FFFFFF"/>
        </w:rPr>
        <w:t>%；住房</w:t>
      </w:r>
      <w:r>
        <w:rPr>
          <w:rFonts w:hint="eastAsia" w:ascii="Times New Roman" w:hAnsi="Times New Roman" w:eastAsia="方正仿宋_GBK" w:cs="方正仿宋_GBK"/>
          <w:i w:val="0"/>
          <w:iCs w:val="0"/>
          <w:caps w:val="0"/>
          <w:color w:val="000000"/>
          <w:spacing w:val="0"/>
          <w:sz w:val="33"/>
          <w:szCs w:val="33"/>
          <w:shd w:val="clear" w:fill="FFFFFF"/>
          <w:lang w:val="en-US" w:eastAsia="zh-CN"/>
        </w:rPr>
        <w:t>保障</w:t>
      </w:r>
      <w:r>
        <w:rPr>
          <w:rFonts w:hint="eastAsia" w:ascii="Times New Roman" w:hAnsi="Times New Roman" w:eastAsia="方正仿宋_GBK" w:cs="方正仿宋_GBK"/>
          <w:i w:val="0"/>
          <w:iCs w:val="0"/>
          <w:caps w:val="0"/>
          <w:color w:val="000000"/>
          <w:spacing w:val="0"/>
          <w:sz w:val="33"/>
          <w:szCs w:val="33"/>
          <w:shd w:val="clear" w:fill="FFFFFF"/>
        </w:rPr>
        <w:t>支出37.16万元，占4.89%。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（三）一般公共预算当年拨款具体使用情况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1.社会保障和就业</w:t>
      </w:r>
      <w:r>
        <w:rPr>
          <w:rFonts w:hint="eastAsia" w:ascii="Times New Roman" w:hAnsi="Times New Roman" w:eastAsia="方正仿宋_GBK" w:cs="方正仿宋_GBK"/>
          <w:i w:val="0"/>
          <w:iCs w:val="0"/>
          <w:caps w:val="0"/>
          <w:color w:val="000000"/>
          <w:spacing w:val="0"/>
          <w:sz w:val="33"/>
          <w:szCs w:val="33"/>
          <w:shd w:val="clear" w:fill="FFFFFF"/>
          <w:lang w:val="en-US" w:eastAsia="zh-CN"/>
        </w:rPr>
        <w:t>支出</w:t>
      </w:r>
      <w:r>
        <w:rPr>
          <w:rFonts w:hint="eastAsia" w:ascii="Times New Roman" w:hAnsi="Times New Roman" w:eastAsia="方正仿宋_GBK" w:cs="方正仿宋_GBK"/>
          <w:i w:val="0"/>
          <w:iCs w:val="0"/>
          <w:caps w:val="0"/>
          <w:color w:val="000000"/>
          <w:spacing w:val="0"/>
          <w:sz w:val="33"/>
          <w:szCs w:val="33"/>
          <w:shd w:val="clear" w:fill="FFFFFF"/>
        </w:rPr>
        <w:t>（类）行政事业单位</w:t>
      </w:r>
      <w:r>
        <w:rPr>
          <w:rFonts w:hint="eastAsia" w:ascii="Times New Roman" w:hAnsi="Times New Roman" w:eastAsia="方正仿宋_GBK" w:cs="方正仿宋_GBK"/>
          <w:i w:val="0"/>
          <w:iCs w:val="0"/>
          <w:caps w:val="0"/>
          <w:color w:val="000000"/>
          <w:spacing w:val="0"/>
          <w:sz w:val="33"/>
          <w:szCs w:val="33"/>
          <w:shd w:val="clear" w:fill="FFFFFF"/>
          <w:lang w:val="en-US" w:eastAsia="zh-CN"/>
        </w:rPr>
        <w:t>养老支出</w:t>
      </w:r>
      <w:r>
        <w:rPr>
          <w:rFonts w:hint="eastAsia" w:ascii="Times New Roman" w:hAnsi="Times New Roman" w:eastAsia="方正仿宋_GBK" w:cs="方正仿宋_GBK"/>
          <w:i w:val="0"/>
          <w:iCs w:val="0"/>
          <w:caps w:val="0"/>
          <w:color w:val="000000"/>
          <w:spacing w:val="0"/>
          <w:sz w:val="33"/>
          <w:szCs w:val="33"/>
          <w:shd w:val="clear" w:fill="FFFFFF"/>
        </w:rPr>
        <w:t>（款）机关事业单位基本养老保险缴费支出（项）2022年预算数为49.55万元，主要用于：缴纳职工养老保险等支出。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default" w:ascii="Times New Roman" w:hAnsi="Times New Roman" w:eastAsia="方正仿宋_GBK" w:cs="方正仿宋_GBK"/>
          <w:i w:val="0"/>
          <w:iCs w:val="0"/>
          <w:caps w:val="0"/>
          <w:color w:val="000000"/>
          <w:spacing w:val="0"/>
          <w:sz w:val="33"/>
          <w:szCs w:val="33"/>
          <w:lang w:val="en-US" w:eastAsia="zh-CN"/>
        </w:rPr>
      </w:pPr>
      <w:r>
        <w:rPr>
          <w:rFonts w:hint="eastAsia" w:ascii="Times New Roman" w:hAnsi="Times New Roman" w:eastAsia="方正仿宋_GBK" w:cs="方正仿宋_GBK"/>
          <w:i w:val="0"/>
          <w:iCs w:val="0"/>
          <w:caps w:val="0"/>
          <w:color w:val="000000"/>
          <w:spacing w:val="0"/>
          <w:sz w:val="33"/>
          <w:szCs w:val="33"/>
          <w:shd w:val="clear" w:fill="FFFFFF"/>
        </w:rPr>
        <w:t>2.卫生健康支出（类）公共卫生（款）疾病预防控制机构（项）2022年预算数为423.55万元，主要用于：人员经费及中心运转支出。基本公共卫生服务（项）2022年预算数为25万元，主要用于：水质监测工作及疫苗冷链运输工作等项目支出。重大公共卫生服务（项）2022年预算数为203.3万元，主要用于艾滋病结核病防治工作等项目等支出。</w:t>
      </w:r>
      <w:r>
        <w:rPr>
          <w:rFonts w:hint="eastAsia" w:ascii="Times New Roman" w:hAnsi="Times New Roman" w:eastAsia="方正仿宋_GBK" w:cs="方正仿宋_GBK"/>
          <w:i w:val="0"/>
          <w:iCs w:val="0"/>
          <w:caps w:val="0"/>
          <w:color w:val="000000"/>
          <w:spacing w:val="0"/>
          <w:sz w:val="33"/>
          <w:szCs w:val="33"/>
          <w:shd w:val="clear" w:fill="FFFFFF"/>
          <w:lang w:val="en-US" w:eastAsia="zh-CN"/>
        </w:rPr>
        <w:t>行政事业单位医疗（款）事业单位医疗（项）2022年预算数为21.68万元，主要</w:t>
      </w:r>
      <w:r>
        <w:rPr>
          <w:rFonts w:hint="eastAsia" w:ascii="Times New Roman" w:hAnsi="Times New Roman" w:eastAsia="方正仿宋_GBK" w:cs="方正仿宋_GBK"/>
          <w:i w:val="0"/>
          <w:iCs w:val="0"/>
          <w:caps w:val="0"/>
          <w:color w:val="000000"/>
          <w:spacing w:val="0"/>
          <w:sz w:val="33"/>
          <w:szCs w:val="33"/>
          <w:shd w:val="clear" w:fill="FFFFFF"/>
        </w:rPr>
        <w:t>用于：缴纳职工医疗保险等支出。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lang w:val="en-US" w:eastAsia="zh-CN"/>
        </w:rPr>
        <w:t>3</w:t>
      </w:r>
      <w:r>
        <w:rPr>
          <w:rFonts w:hint="eastAsia" w:ascii="Times New Roman" w:hAnsi="Times New Roman" w:eastAsia="方正仿宋_GBK" w:cs="方正仿宋_GBK"/>
          <w:i w:val="0"/>
          <w:iCs w:val="0"/>
          <w:caps w:val="0"/>
          <w:color w:val="000000"/>
          <w:spacing w:val="0"/>
          <w:sz w:val="33"/>
          <w:szCs w:val="33"/>
          <w:shd w:val="clear" w:fill="FFFFFF"/>
        </w:rPr>
        <w:t>.住房保障支出（类）住房改革支出（款）住房公积金（项）2022年预算数为37.16万元，主要用于：缴纳职工住房公积金等支出。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六、一般公共预算基本支出情况说明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疾控中心2022年一般公共预算基本支出531.94万元，其中：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人员经费453.94万元，主要包括：基本工资166.2万元、津贴补贴13.58万元、绩效工资129.9万元、机关事业单位基本养老保险缴费49.55万元、职工基本医疗保险缴费21.68万元、其他社会保障缴费19.91万元、住房公积金37.16万元、其他工资福利支出15.9万元、奖励金0.05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公用经费78万元，主要包括：办公费3万元、印刷费1.5万元、手续费0.5万元、水费1.5万元、电费6万元、邮电费5万元、差旅费9万元、维修（护）费3万元、租赁费2万元、会议费2万元、公务接待费3万元、专用材料费6万元、劳务费5万元、工会经费4万元、福利费0.5万元、公务用车运行维护费24万元、其他商品和服务支出2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七、“三公”经费财政拨款预算安排情况说明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疾控中心2022年“三公”经费财政拨款预算数27万元，其中：公务接待费3万元，公务用车购置及运行维护费24万元，因公出国（境）经费0万元。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（一）因公出国（境）经费与2021年预算持平。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（二）公务接待费与2021年预算持平。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2022年公务接待费计划用于中心正常公务接待支出。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（三）公务用车购置及运行维护费与2021年预算持平。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单位现有公务用车5辆，其中：轿车1辆，旅行车（含商务车）1辆，越野车2辆，冷链车1辆。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2022年安排公务用车购置费0万元，拟购置公务用车0辆，其中：轿车0辆，旅行车（含商务车）0辆，越野车0辆，大型客、货车0辆。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2022年安排公务用车运行维护费24万元，用于5辆公务用车燃油、维修、保养、保险等方面支出，主要保障疫苗冷链运输、新冠核酸样本转运、疾病预防服务等工作开展。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八、政府性基金预算支出情况说明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疾控中心2022年没有使用政府性基金预算拨款安排的支出。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九、国有资本经营预算情况说明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疾控中心2022年没有使用国有资本经营预算拨款安排的支出。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十、其他重要事项的情况说明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（一）机关运行经费情况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w:t>
      </w:r>
      <w:r>
        <w:rPr>
          <w:rFonts w:hint="eastAsia" w:ascii="Times New Roman" w:hAnsi="Times New Roman" w:eastAsia="方正仿宋_GBK" w:cs="方正仿宋_GBK"/>
          <w:i w:val="0"/>
          <w:iCs w:val="0"/>
          <w:caps w:val="0"/>
          <w:color w:val="000000"/>
          <w:spacing w:val="0"/>
          <w:sz w:val="33"/>
          <w:szCs w:val="33"/>
          <w:shd w:val="clear" w:fill="FFFFFF"/>
          <w:lang w:val="en-US" w:eastAsia="zh-CN"/>
        </w:rPr>
        <w:t>2</w:t>
      </w:r>
      <w:r>
        <w:rPr>
          <w:rFonts w:hint="eastAsia" w:ascii="Times New Roman" w:hAnsi="Times New Roman" w:eastAsia="方正仿宋_GBK" w:cs="方正仿宋_GBK"/>
          <w:i w:val="0"/>
          <w:iCs w:val="0"/>
          <w:caps w:val="0"/>
          <w:color w:val="000000"/>
          <w:spacing w:val="0"/>
          <w:sz w:val="33"/>
          <w:szCs w:val="33"/>
          <w:shd w:val="clear" w:fill="FFFFFF"/>
        </w:rPr>
        <w:t>年，</w:t>
      </w:r>
      <w:r>
        <w:rPr>
          <w:rFonts w:hint="eastAsia" w:ascii="Times New Roman" w:hAnsi="Times New Roman" w:eastAsia="方正仿宋_GBK" w:cs="方正仿宋_GBK"/>
          <w:i w:val="0"/>
          <w:iCs w:val="0"/>
          <w:caps w:val="0"/>
          <w:color w:val="000000"/>
          <w:spacing w:val="0"/>
          <w:sz w:val="33"/>
          <w:szCs w:val="33"/>
          <w:shd w:val="clear" w:fill="FFFFFF"/>
          <w:lang w:val="en-US" w:eastAsia="zh-CN"/>
        </w:rPr>
        <w:t>疾控中心为卫生健康局下属事业单位</w:t>
      </w:r>
      <w:r>
        <w:rPr>
          <w:rFonts w:hint="eastAsia" w:ascii="Times New Roman" w:hAnsi="Times New Roman" w:eastAsia="方正仿宋_GBK" w:cs="方正仿宋_GBK"/>
          <w:i w:val="0"/>
          <w:iCs w:val="0"/>
          <w:caps w:val="0"/>
          <w:color w:val="000000"/>
          <w:spacing w:val="0"/>
          <w:sz w:val="33"/>
          <w:szCs w:val="33"/>
          <w:shd w:val="clear" w:fill="FFFFFF"/>
        </w:rPr>
        <w:t>，按规定未使用机关运行的相关科目。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（二）政府采购情况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疾控中心2022年无政府采购项目，未安排政府采购预算。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（三）国有资产占有使用情况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截至2021年底，疾控中心所属各预算单位共有车辆5辆，其中，定向保障用车5辆、执法执勤用车0辆。单位价值200万元以上大型设备0台。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2022年部门预算未安排购置车辆及单位价值200万元以上大型设备。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3" w:firstLineChars="200"/>
        <w:jc w:val="left"/>
        <w:textAlignment w:val="auto"/>
        <w:rPr>
          <w:rFonts w:hint="eastAsia" w:ascii="Times New Roman" w:hAnsi="Times New Roman" w:eastAsia="方正楷体_GBK" w:cs="方正楷体_GBK"/>
          <w:b/>
          <w:bCs/>
          <w:i w:val="0"/>
          <w:iCs w:val="0"/>
          <w:caps w:val="0"/>
          <w:color w:val="000000"/>
          <w:spacing w:val="0"/>
          <w:sz w:val="33"/>
          <w:szCs w:val="33"/>
          <w:shd w:val="clear" w:fill="FFFFFF"/>
        </w:rPr>
      </w:pPr>
      <w:r>
        <w:rPr>
          <w:rFonts w:hint="eastAsia" w:ascii="Times New Roman" w:hAnsi="Times New Roman" w:eastAsia="方正楷体_GBK" w:cs="方正楷体_GBK"/>
          <w:b/>
          <w:bCs/>
          <w:i w:val="0"/>
          <w:iCs w:val="0"/>
          <w:caps w:val="0"/>
          <w:color w:val="000000"/>
          <w:spacing w:val="0"/>
          <w:sz w:val="33"/>
          <w:szCs w:val="33"/>
          <w:shd w:val="clear" w:fill="FFFFFF"/>
        </w:rPr>
        <w:t>（四）预算绩效情况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2022年疾控中心开展绩效目标管理的项目</w:t>
      </w:r>
      <w:r>
        <w:rPr>
          <w:rFonts w:hint="eastAsia" w:ascii="Times New Roman" w:hAnsi="Times New Roman" w:eastAsia="方正仿宋_GBK" w:cs="方正仿宋_GBK"/>
          <w:i w:val="0"/>
          <w:iCs w:val="0"/>
          <w:caps w:val="0"/>
          <w:color w:val="000000"/>
          <w:spacing w:val="0"/>
          <w:sz w:val="33"/>
          <w:szCs w:val="33"/>
          <w:shd w:val="clear" w:fill="FFFFFF"/>
          <w:lang w:val="en-US" w:eastAsia="zh-CN"/>
        </w:rPr>
        <w:t>5</w:t>
      </w:r>
      <w:r>
        <w:rPr>
          <w:rFonts w:hint="eastAsia" w:ascii="Times New Roman" w:hAnsi="Times New Roman" w:eastAsia="方正仿宋_GBK" w:cs="方正仿宋_GBK"/>
          <w:i w:val="0"/>
          <w:iCs w:val="0"/>
          <w:caps w:val="0"/>
          <w:color w:val="000000"/>
          <w:spacing w:val="0"/>
          <w:sz w:val="33"/>
          <w:szCs w:val="33"/>
          <w:shd w:val="clear" w:fill="FFFFFF"/>
        </w:rPr>
        <w:t>个，涉及预算</w:t>
      </w:r>
      <w:r>
        <w:rPr>
          <w:rFonts w:hint="eastAsia" w:ascii="Times New Roman" w:hAnsi="Times New Roman" w:eastAsia="方正仿宋_GBK" w:cs="方正仿宋_GBK"/>
          <w:i w:val="0"/>
          <w:iCs w:val="0"/>
          <w:caps w:val="0"/>
          <w:color w:val="000000"/>
          <w:spacing w:val="0"/>
          <w:sz w:val="33"/>
          <w:szCs w:val="33"/>
          <w:shd w:val="clear" w:fill="FFFFFF"/>
          <w:lang w:val="en-US" w:eastAsia="zh-CN"/>
        </w:rPr>
        <w:t>682.24</w:t>
      </w:r>
      <w:r>
        <w:rPr>
          <w:rFonts w:hint="eastAsia" w:ascii="Times New Roman" w:hAnsi="Times New Roman" w:eastAsia="方正仿宋_GBK" w:cs="方正仿宋_GBK"/>
          <w:i w:val="0"/>
          <w:iCs w:val="0"/>
          <w:caps w:val="0"/>
          <w:color w:val="000000"/>
          <w:spacing w:val="0"/>
          <w:sz w:val="33"/>
          <w:szCs w:val="33"/>
          <w:shd w:val="clear" w:fill="FFFFFF"/>
        </w:rPr>
        <w:t>万元。其中：人员类项目</w:t>
      </w:r>
      <w:r>
        <w:rPr>
          <w:rFonts w:hint="eastAsia" w:ascii="Times New Roman" w:hAnsi="Times New Roman" w:eastAsia="方正仿宋_GBK" w:cs="方正仿宋_GBK"/>
          <w:i w:val="0"/>
          <w:iCs w:val="0"/>
          <w:caps w:val="0"/>
          <w:color w:val="000000"/>
          <w:spacing w:val="0"/>
          <w:sz w:val="33"/>
          <w:szCs w:val="33"/>
          <w:shd w:val="clear" w:fill="FFFFFF"/>
          <w:lang w:val="en-US" w:eastAsia="zh-CN"/>
        </w:rPr>
        <w:t>1</w:t>
      </w:r>
      <w:r>
        <w:rPr>
          <w:rFonts w:hint="eastAsia" w:ascii="Times New Roman" w:hAnsi="Times New Roman" w:eastAsia="方正仿宋_GBK" w:cs="方正仿宋_GBK"/>
          <w:i w:val="0"/>
          <w:iCs w:val="0"/>
          <w:caps w:val="0"/>
          <w:color w:val="000000"/>
          <w:spacing w:val="0"/>
          <w:sz w:val="33"/>
          <w:szCs w:val="33"/>
          <w:shd w:val="clear" w:fill="FFFFFF"/>
        </w:rPr>
        <w:t>个，涉及预算</w:t>
      </w:r>
      <w:r>
        <w:rPr>
          <w:rFonts w:hint="eastAsia" w:ascii="Times New Roman" w:hAnsi="Times New Roman" w:eastAsia="方正仿宋_GBK" w:cs="方正仿宋_GBK"/>
          <w:i w:val="0"/>
          <w:iCs w:val="0"/>
          <w:caps w:val="0"/>
          <w:color w:val="000000"/>
          <w:spacing w:val="0"/>
          <w:sz w:val="33"/>
          <w:szCs w:val="33"/>
          <w:shd w:val="clear" w:fill="FFFFFF"/>
          <w:lang w:val="en-US" w:eastAsia="zh-CN"/>
        </w:rPr>
        <w:t>453.94</w:t>
      </w:r>
      <w:r>
        <w:rPr>
          <w:rFonts w:hint="eastAsia" w:ascii="Times New Roman" w:hAnsi="Times New Roman" w:eastAsia="方正仿宋_GBK" w:cs="方正仿宋_GBK"/>
          <w:i w:val="0"/>
          <w:iCs w:val="0"/>
          <w:caps w:val="0"/>
          <w:color w:val="000000"/>
          <w:spacing w:val="0"/>
          <w:sz w:val="33"/>
          <w:szCs w:val="33"/>
          <w:shd w:val="clear" w:fill="FFFFFF"/>
        </w:rPr>
        <w:t>万元；运转类项目0个，涉及预算0万元；特定目标类项目4个，涉及预算228.3万元。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jc w:val="left"/>
        <w:textAlignment w:val="auto"/>
        <w:rPr>
          <w:rFonts w:hint="eastAsia" w:ascii="Times New Roman" w:hAnsi="Times New Roman" w:eastAsia="方正黑体_GBK" w:cs="方正黑体_GBK"/>
          <w:b w:val="0"/>
          <w:bCs w:val="0"/>
          <w:i w:val="0"/>
          <w:iCs w:val="0"/>
          <w:caps w:val="0"/>
          <w:color w:val="000000"/>
          <w:spacing w:val="0"/>
          <w:sz w:val="33"/>
          <w:szCs w:val="33"/>
          <w:shd w:val="clear" w:fill="FFFFFF"/>
        </w:rPr>
      </w:pPr>
      <w:r>
        <w:rPr>
          <w:rFonts w:hint="eastAsia" w:ascii="Times New Roman" w:hAnsi="Times New Roman" w:eastAsia="方正黑体_GBK" w:cs="方正黑体_GBK"/>
          <w:b w:val="0"/>
          <w:bCs w:val="0"/>
          <w:i w:val="0"/>
          <w:iCs w:val="0"/>
          <w:caps w:val="0"/>
          <w:color w:val="000000"/>
          <w:spacing w:val="0"/>
          <w:sz w:val="33"/>
          <w:szCs w:val="33"/>
          <w:shd w:val="clear" w:fill="FFFFFF"/>
        </w:rPr>
        <w:t>十一、名词解释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1.一般公共预算拨款收入：指市级财政当年拨付的资金。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2.上年结转：指以前年度尚未完成，结转到本年仍按原规定用途继续使用的资金。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lang w:val="en-US" w:eastAsia="zh-CN"/>
        </w:rPr>
        <w:t>3</w:t>
      </w:r>
      <w:r>
        <w:rPr>
          <w:rFonts w:hint="eastAsia" w:ascii="Times New Roman" w:hAnsi="Times New Roman" w:eastAsia="方正仿宋_GBK" w:cs="方正仿宋_GBK"/>
          <w:i w:val="0"/>
          <w:iCs w:val="0"/>
          <w:caps w:val="0"/>
          <w:color w:val="000000"/>
          <w:spacing w:val="0"/>
          <w:sz w:val="33"/>
          <w:szCs w:val="33"/>
          <w:shd w:val="clear" w:fill="FFFFFF"/>
        </w:rPr>
        <w:t>.社会保障和就业（类）行政事业单位离退休（款）机关事业单位基本养老保险支出（项）：指行政事业单位基本养老保险费支出。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4.医疗卫生与计划生育（类）公共卫生（款）疾病预防控制机构（项）：指重大公共卫生服务支出、行政事业单位医疗（款）、其他卫生健康支出。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lang w:val="en-US" w:eastAsia="zh-CN"/>
        </w:rPr>
        <w:t>5</w:t>
      </w:r>
      <w:r>
        <w:rPr>
          <w:rFonts w:hint="eastAsia" w:ascii="Times New Roman" w:hAnsi="Times New Roman" w:eastAsia="方正仿宋_GBK" w:cs="方正仿宋_GBK"/>
          <w:i w:val="0"/>
          <w:iCs w:val="0"/>
          <w:caps w:val="0"/>
          <w:color w:val="000000"/>
          <w:spacing w:val="0"/>
          <w:sz w:val="33"/>
          <w:szCs w:val="33"/>
          <w:shd w:val="clear" w:fill="FFFFFF"/>
        </w:rPr>
        <w:t>.住房保障（类）住房改革支出（款）住房公积金（项）：指单位职工住房公积金支出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6.基本支出：指为保证机构正常运转，完成日常工作任务而发生的人员支出和公用支出。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7.项目支出：指在基本支出之外为完成特定行政任务和事业发展目标所发生的支出。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8.“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9.机关运行经费：为保障行政单位（包含参照公务员法管理的事业单位）运行用于购买货物和服务的各项资金。包括办公及印刷费、邮电费、差旅费、会议费一般设备购置费等费用开支。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Times New Roman" w:hAnsi="Times New Roman" w:eastAsia="方正黑体_GBK" w:cs="方正黑体_GBK"/>
          <w:i w:val="0"/>
          <w:iCs w:val="0"/>
          <w:caps w:val="0"/>
          <w:color w:val="000000"/>
          <w:spacing w:val="0"/>
          <w:sz w:val="33"/>
          <w:szCs w:val="33"/>
        </w:rPr>
      </w:pPr>
      <w:r>
        <w:rPr>
          <w:rFonts w:hint="eastAsia" w:ascii="Times New Roman" w:hAnsi="Times New Roman" w:eastAsia="方正黑体_GBK" w:cs="方正黑体_GBK"/>
          <w:i w:val="0"/>
          <w:iCs w:val="0"/>
          <w:caps w:val="0"/>
          <w:color w:val="000000"/>
          <w:spacing w:val="0"/>
          <w:sz w:val="33"/>
          <w:szCs w:val="33"/>
          <w:shd w:val="clear" w:fill="FFFFFF"/>
          <w:lang w:val="en-US" w:eastAsia="zh-CN"/>
        </w:rPr>
        <w:t>十二、</w:t>
      </w:r>
      <w:r>
        <w:rPr>
          <w:rFonts w:hint="eastAsia" w:ascii="Times New Roman" w:hAnsi="Times New Roman" w:eastAsia="方正黑体_GBK" w:cs="方正黑体_GBK"/>
          <w:i w:val="0"/>
          <w:iCs w:val="0"/>
          <w:caps w:val="0"/>
          <w:color w:val="000000"/>
          <w:spacing w:val="0"/>
          <w:sz w:val="33"/>
          <w:szCs w:val="33"/>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表1部门收支总表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表1-1部门收入总表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表1-2部门支出总表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表2财政拨款收支总表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表2-1财政拨款支出预算表（部门经济分类科目）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表3一般公共预算支出预算表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表3-1一般公共预算基本支出预算表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表3-2一般公共预算项目支出预算表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表3-3一般公共预算“三公”经费支出预算表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表4政府性基金支出预算表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表4-1政府性基金预算“三公”经费支出预算表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表5国有资本经营预算支出预算表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表6部门预算项目支出绩效目标表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990" w:firstLineChars="300"/>
        <w:textAlignment w:val="auto"/>
        <w:rPr>
          <w:rFonts w:hint="eastAsia" w:ascii="Times New Roman" w:hAnsi="Times New Roman" w:eastAsia="方正仿宋_GBK" w:cs="方正仿宋_GBK"/>
          <w:i w:val="0"/>
          <w:iCs w:val="0"/>
          <w:caps w:val="0"/>
          <w:color w:val="000000"/>
          <w:spacing w:val="0"/>
          <w:sz w:val="33"/>
          <w:szCs w:val="33"/>
        </w:rPr>
      </w:pPr>
      <w:r>
        <w:rPr>
          <w:rFonts w:hint="eastAsia" w:ascii="Times New Roman" w:hAnsi="Times New Roman" w:eastAsia="方正仿宋_GBK" w:cs="方正仿宋_GBK"/>
          <w:i w:val="0"/>
          <w:iCs w:val="0"/>
          <w:caps w:val="0"/>
          <w:color w:val="000000"/>
          <w:spacing w:val="0"/>
          <w:sz w:val="33"/>
          <w:szCs w:val="33"/>
          <w:shd w:val="clear" w:fill="FFFFFF"/>
        </w:rPr>
        <w:t>表7部门整体支出绩效目标表</w:t>
      </w:r>
    </w:p>
    <w:p>
      <w:pPr>
        <w:rPr>
          <w:rFonts w:ascii="Times New Roman" w:hAnsi="Times New Roma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zlkZjk5NmVmNjgxNWUyYTY5ODAyNTdjNjhlNzgifQ=="/>
  </w:docVars>
  <w:rsids>
    <w:rsidRoot w:val="00000000"/>
    <w:rsid w:val="037C3F0A"/>
    <w:rsid w:val="05DB0F41"/>
    <w:rsid w:val="080737D2"/>
    <w:rsid w:val="0A246F38"/>
    <w:rsid w:val="0B4F0409"/>
    <w:rsid w:val="0B836E2F"/>
    <w:rsid w:val="0D9B7A30"/>
    <w:rsid w:val="0DDA1A7E"/>
    <w:rsid w:val="0FCC7B00"/>
    <w:rsid w:val="1E744014"/>
    <w:rsid w:val="1EEB7551"/>
    <w:rsid w:val="25461985"/>
    <w:rsid w:val="25481D84"/>
    <w:rsid w:val="2A8A6E43"/>
    <w:rsid w:val="2D41399A"/>
    <w:rsid w:val="3C6C2614"/>
    <w:rsid w:val="3CAD10BF"/>
    <w:rsid w:val="48430C8D"/>
    <w:rsid w:val="4BCD3579"/>
    <w:rsid w:val="506732E8"/>
    <w:rsid w:val="55357F85"/>
    <w:rsid w:val="56FD1DE2"/>
    <w:rsid w:val="57BC699B"/>
    <w:rsid w:val="623E2312"/>
    <w:rsid w:val="66BF662B"/>
    <w:rsid w:val="68AE5444"/>
    <w:rsid w:val="787B63C5"/>
    <w:rsid w:val="7BC95927"/>
    <w:rsid w:val="7D19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4041</Words>
  <Characters>5618</Characters>
  <Lines>0</Lines>
  <Paragraphs>0</Paragraphs>
  <TotalTime>11</TotalTime>
  <ScaleCrop>false</ScaleCrop>
  <LinksUpToDate>false</LinksUpToDate>
  <CharactersWithSpaces>5633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2023-05-30T09:18:00Z</dcterms:created>
  <dc:creator>qwert</dc:creator>
  <cp:lastModifiedBy>赢了</cp:lastModifiedBy>
  <dcterms:modified xsi:type="dcterms:W3CDTF">2023-09-08T02:46:37Z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A0F83D4204E3466B91851598E30F4F77_12</vt:lpwstr>
  </property>
</Properties>
</file>