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eastAsia" w:ascii="Times New Roman" w:hAnsi="Times New Roman" w:eastAsia="方正小标宋_GBK"/>
          <w:sz w:val="44"/>
          <w:szCs w:val="44"/>
          <w:highlight w:val="none"/>
        </w:rPr>
      </w:pPr>
    </w:p>
    <w:p>
      <w:pPr>
        <w:spacing w:line="600" w:lineRule="exact"/>
        <w:ind w:firstLine="880" w:firstLineChars="200"/>
        <w:jc w:val="center"/>
        <w:outlineLvl w:val="0"/>
        <w:rPr>
          <w:rFonts w:hint="eastAsia" w:ascii="Times New Roman" w:hAnsi="Times New Roman" w:eastAsia="方正小标宋_GBK"/>
          <w:sz w:val="44"/>
          <w:szCs w:val="44"/>
          <w:highlight w:val="none"/>
          <w:lang w:eastAsia="zh-CN"/>
        </w:rPr>
      </w:pPr>
      <w:bookmarkStart w:id="0" w:name="_Toc13123"/>
    </w:p>
    <w:p>
      <w:pPr>
        <w:spacing w:line="600" w:lineRule="exact"/>
        <w:ind w:firstLine="880" w:firstLineChars="200"/>
        <w:jc w:val="center"/>
        <w:outlineLvl w:val="0"/>
        <w:rPr>
          <w:rFonts w:hint="eastAsia" w:ascii="Times New Roman" w:hAnsi="Times New Roman" w:eastAsia="方正小标宋_GBK"/>
          <w:sz w:val="44"/>
          <w:szCs w:val="44"/>
          <w:highlight w:val="none"/>
          <w:lang w:eastAsia="zh-CN"/>
        </w:rPr>
      </w:pPr>
    </w:p>
    <w:p>
      <w:pPr>
        <w:spacing w:line="600" w:lineRule="exact"/>
        <w:ind w:firstLine="880" w:firstLineChars="200"/>
        <w:jc w:val="center"/>
        <w:outlineLvl w:val="0"/>
        <w:rPr>
          <w:rFonts w:hint="eastAsia" w:ascii="Times New Roman" w:hAnsi="Times New Roman" w:eastAsia="方正小标宋_GBK"/>
          <w:sz w:val="44"/>
          <w:szCs w:val="44"/>
          <w:highlight w:val="none"/>
          <w:lang w:eastAsia="zh-CN"/>
        </w:rPr>
      </w:pPr>
    </w:p>
    <w:p>
      <w:pPr>
        <w:adjustRightInd w:val="0"/>
        <w:snapToGrid w:val="0"/>
        <w:spacing w:line="360" w:lineRule="auto"/>
        <w:jc w:val="center"/>
        <w:outlineLvl w:val="0"/>
        <w:rPr>
          <w:rFonts w:hint="eastAsia" w:ascii="黑体" w:hAnsi="黑体" w:eastAsia="黑体" w:cs="Times New Roman"/>
          <w:color w:val="000000"/>
          <w:sz w:val="52"/>
          <w:szCs w:val="52"/>
          <w:lang w:eastAsia="zh-CN"/>
        </w:rPr>
      </w:pPr>
      <w:r>
        <w:rPr>
          <w:rFonts w:hint="eastAsia" w:ascii="黑体" w:hAnsi="黑体" w:eastAsia="黑体" w:cs="Times New Roman"/>
          <w:color w:val="000000"/>
          <w:sz w:val="52"/>
          <w:szCs w:val="52"/>
          <w:lang w:eastAsia="zh-CN"/>
        </w:rPr>
        <w:t>广安市前锋区综合行政执法局</w:t>
      </w:r>
      <w:bookmarkEnd w:id="0"/>
    </w:p>
    <w:p>
      <w:pPr>
        <w:adjustRightInd w:val="0"/>
        <w:snapToGrid w:val="0"/>
        <w:spacing w:line="360" w:lineRule="auto"/>
        <w:jc w:val="center"/>
        <w:outlineLvl w:val="0"/>
        <w:rPr>
          <w:rFonts w:hint="eastAsia" w:ascii="Times New Roman" w:hAnsi="Times New Roman" w:eastAsia="方正小标宋_GBK"/>
          <w:sz w:val="44"/>
          <w:szCs w:val="44"/>
          <w:highlight w:val="none"/>
        </w:rPr>
      </w:pPr>
      <w:r>
        <w:rPr>
          <w:rFonts w:hint="eastAsia" w:ascii="黑体" w:hAnsi="黑体" w:eastAsia="黑体" w:cs="Times New Roman"/>
          <w:color w:val="000000"/>
          <w:sz w:val="52"/>
          <w:szCs w:val="52"/>
          <w:lang w:eastAsia="zh-CN"/>
        </w:rPr>
        <w:t>202</w:t>
      </w:r>
      <w:r>
        <w:rPr>
          <w:rFonts w:hint="eastAsia" w:ascii="黑体" w:hAnsi="黑体" w:eastAsia="黑体" w:cs="Times New Roman"/>
          <w:color w:val="000000"/>
          <w:sz w:val="52"/>
          <w:szCs w:val="52"/>
          <w:lang w:val="en-US" w:eastAsia="zh-CN"/>
        </w:rPr>
        <w:t>3</w:t>
      </w:r>
      <w:r>
        <w:rPr>
          <w:rFonts w:hint="eastAsia" w:ascii="黑体" w:hAnsi="黑体" w:eastAsia="黑体" w:cs="Times New Roman"/>
          <w:color w:val="000000"/>
          <w:sz w:val="52"/>
          <w:szCs w:val="52"/>
        </w:rPr>
        <w:t>年部门预算编制说明</w:t>
      </w:r>
    </w:p>
    <w:p>
      <w:pPr>
        <w:pStyle w:val="2"/>
        <w:rPr>
          <w:rFonts w:hint="eastAsia" w:ascii="Times New Roman" w:hAnsi="Times New Roman" w:eastAsia="方正小标宋_GBK"/>
          <w:sz w:val="44"/>
          <w:szCs w:val="44"/>
          <w:highlight w:val="none"/>
        </w:rPr>
      </w:pPr>
    </w:p>
    <w:p>
      <w:pPr>
        <w:rPr>
          <w:rFonts w:hint="eastAsia" w:ascii="Times New Roman" w:hAnsi="Times New Roman" w:eastAsia="方正小标宋_GBK"/>
          <w:sz w:val="44"/>
          <w:szCs w:val="44"/>
          <w:highlight w:val="none"/>
        </w:rPr>
      </w:pPr>
    </w:p>
    <w:p>
      <w:pPr>
        <w:pStyle w:val="2"/>
        <w:rPr>
          <w:rFonts w:hint="eastAsia" w:ascii="Times New Roman" w:hAnsi="Times New Roman" w:eastAsia="方正小标宋_GBK"/>
          <w:sz w:val="44"/>
          <w:szCs w:val="44"/>
          <w:highlight w:val="none"/>
        </w:rPr>
      </w:pPr>
    </w:p>
    <w:p>
      <w:pPr>
        <w:rPr>
          <w:rFonts w:hint="eastAsia" w:ascii="Times New Roman" w:hAnsi="Times New Roman" w:eastAsia="方正小标宋_GBK"/>
          <w:sz w:val="44"/>
          <w:szCs w:val="44"/>
          <w:highlight w:val="none"/>
        </w:rPr>
      </w:pPr>
    </w:p>
    <w:p>
      <w:pPr>
        <w:pStyle w:val="2"/>
        <w:rPr>
          <w:rFonts w:hint="eastAsia" w:ascii="Times New Roman" w:hAnsi="Times New Roman" w:eastAsia="方正小标宋_GBK"/>
          <w:sz w:val="44"/>
          <w:szCs w:val="44"/>
          <w:highlight w:val="none"/>
        </w:rPr>
      </w:pPr>
    </w:p>
    <w:p>
      <w:pPr>
        <w:rPr>
          <w:rFonts w:hint="eastAsia" w:ascii="Times New Roman" w:hAnsi="Times New Roman" w:eastAsia="方正小标宋_GBK"/>
          <w:sz w:val="44"/>
          <w:szCs w:val="44"/>
          <w:highlight w:val="none"/>
        </w:rPr>
      </w:pPr>
    </w:p>
    <w:p>
      <w:pPr>
        <w:pStyle w:val="2"/>
        <w:rPr>
          <w:rFonts w:hint="eastAsia" w:ascii="Times New Roman" w:hAnsi="Times New Roman" w:eastAsia="方正小标宋_GBK"/>
          <w:sz w:val="44"/>
          <w:szCs w:val="44"/>
          <w:highlight w:val="none"/>
        </w:rPr>
      </w:pPr>
    </w:p>
    <w:p>
      <w:pPr>
        <w:rPr>
          <w:rFonts w:hint="eastAsia" w:ascii="Times New Roman" w:hAnsi="Times New Roman" w:eastAsia="方正小标宋_GBK"/>
          <w:sz w:val="44"/>
          <w:szCs w:val="44"/>
          <w:highlight w:val="none"/>
        </w:rPr>
      </w:pPr>
    </w:p>
    <w:p>
      <w:pPr>
        <w:pStyle w:val="2"/>
        <w:rPr>
          <w:rFonts w:hint="eastAsia" w:ascii="Times New Roman" w:hAnsi="Times New Roman" w:eastAsia="方正小标宋_GBK"/>
          <w:sz w:val="44"/>
          <w:szCs w:val="44"/>
          <w:highlight w:val="none"/>
        </w:rPr>
      </w:pPr>
    </w:p>
    <w:p>
      <w:pPr>
        <w:rPr>
          <w:rFonts w:hint="eastAsia" w:ascii="Times New Roman" w:hAnsi="Times New Roman" w:eastAsia="方正小标宋_GBK"/>
          <w:sz w:val="44"/>
          <w:szCs w:val="44"/>
          <w:highlight w:val="none"/>
        </w:rPr>
      </w:pPr>
    </w:p>
    <w:p>
      <w:pPr>
        <w:pStyle w:val="2"/>
        <w:rPr>
          <w:rFonts w:hint="eastAsia" w:ascii="Times New Roman" w:hAnsi="Times New Roman" w:eastAsia="方正小标宋_GBK"/>
          <w:sz w:val="44"/>
          <w:szCs w:val="44"/>
          <w:highlight w:val="none"/>
        </w:rPr>
      </w:pPr>
    </w:p>
    <w:p>
      <w:pPr>
        <w:rPr>
          <w:rFonts w:hint="eastAsia" w:ascii="Times New Roman" w:hAnsi="Times New Roman" w:eastAsia="方正小标宋_GBK"/>
          <w:sz w:val="44"/>
          <w:szCs w:val="44"/>
          <w:highlight w:val="none"/>
        </w:rPr>
      </w:pPr>
    </w:p>
    <w:p>
      <w:pPr>
        <w:pStyle w:val="2"/>
        <w:rPr>
          <w:rFonts w:hint="eastAsia" w:ascii="Times New Roman" w:hAnsi="Times New Roman" w:eastAsia="方正小标宋_GBK"/>
          <w:sz w:val="44"/>
          <w:szCs w:val="44"/>
          <w:highlight w:val="none"/>
        </w:rPr>
      </w:pPr>
    </w:p>
    <w:p>
      <w:pPr>
        <w:rPr>
          <w:rFonts w:hint="eastAsia" w:ascii="Times New Roman" w:hAnsi="Times New Roman" w:eastAsia="方正小标宋_GBK"/>
          <w:sz w:val="44"/>
          <w:szCs w:val="44"/>
          <w:highlight w:val="none"/>
        </w:rPr>
      </w:pPr>
    </w:p>
    <w:p>
      <w:pPr>
        <w:pStyle w:val="3"/>
        <w:rPr>
          <w:rFonts w:hint="eastAsia" w:ascii="Times New Roman" w:hAnsi="Times New Roman" w:eastAsia="方正小标宋_GBK"/>
          <w:sz w:val="44"/>
          <w:szCs w:val="44"/>
          <w:highlight w:val="none"/>
        </w:rPr>
      </w:pPr>
    </w:p>
    <w:p>
      <w:pPr>
        <w:pStyle w:val="3"/>
        <w:rPr>
          <w:rFonts w:hint="eastAsia" w:ascii="Times New Roman" w:hAnsi="Times New Roman" w:eastAsia="方正小标宋_GBK"/>
          <w:sz w:val="44"/>
          <w:szCs w:val="44"/>
          <w:highlight w:val="none"/>
        </w:rPr>
      </w:pPr>
    </w:p>
    <w:p>
      <w:pPr>
        <w:pStyle w:val="2"/>
        <w:rPr>
          <w:rStyle w:val="10"/>
          <w:rFonts w:hint="eastAsia" w:ascii="Times New Roman" w:hAnsi="Times New Roman" w:eastAsia="宋体" w:cs="Times New Roman"/>
          <w:kern w:val="2"/>
          <w:sz w:val="28"/>
          <w:szCs w:val="28"/>
          <w:lang w:val="en-US" w:eastAsia="zh-CN" w:bidi="ar-SA"/>
        </w:rPr>
      </w:pPr>
    </w:p>
    <w:p>
      <w:pPr>
        <w:rPr>
          <w:rStyle w:val="10"/>
          <w:rFonts w:hint="eastAsia" w:ascii="Times New Roman" w:hAnsi="Times New Roman" w:eastAsia="宋体" w:cs="Times New Roman"/>
          <w:kern w:val="2"/>
          <w:sz w:val="28"/>
          <w:szCs w:val="28"/>
          <w:lang w:val="en-US" w:eastAsia="zh-CN" w:bidi="ar-SA"/>
        </w:rPr>
      </w:pPr>
    </w:p>
    <w:sdt>
      <w:sdtPr>
        <w:rPr>
          <w:rStyle w:val="10"/>
          <w:rFonts w:hint="eastAsia" w:ascii="Times New Roman" w:hAnsi="Times New Roman" w:eastAsia="宋体" w:cs="Times New Roman"/>
          <w:kern w:val="2"/>
          <w:sz w:val="28"/>
          <w:szCs w:val="28"/>
          <w:lang w:val="en-US" w:eastAsia="zh-CN" w:bidi="ar-SA"/>
        </w:rPr>
        <w:id w:val="147457042"/>
        <w15:color w:val="DBDBDB"/>
        <w:docPartObj>
          <w:docPartGallery w:val="Table of Contents"/>
          <w:docPartUnique/>
        </w:docPartObj>
      </w:sdtPr>
      <w:sdtEndPr>
        <w:rPr>
          <w:rStyle w:val="10"/>
          <w:rFonts w:hint="eastAsia" w:ascii="Times New Roman" w:hAnsi="Times New Roman" w:eastAsia="仿宋_GB2312" w:cstheme="minorBidi"/>
          <w:b/>
          <w:kern w:val="2"/>
          <w:sz w:val="21"/>
          <w:szCs w:val="32"/>
          <w:highlight w:val="none"/>
          <w:lang w:val="en-US" w:eastAsia="zh-CN" w:bidi="ar-SA"/>
        </w:rPr>
      </w:sdtEndPr>
      <w:sdtContent>
        <w:p>
          <w:pPr>
            <w:widowControl/>
            <w:jc w:val="center"/>
            <w:rPr>
              <w:rFonts w:ascii="黑体" w:hAnsi="黑体" w:eastAsia="黑体" w:cstheme="minorBidi"/>
              <w:sz w:val="28"/>
              <w:szCs w:val="28"/>
            </w:rPr>
          </w:pPr>
          <w:r>
            <w:rPr>
              <w:rFonts w:hint="eastAsia" w:ascii="黑体" w:hAnsi="黑体" w:eastAsia="黑体" w:cs="黑体"/>
              <w:kern w:val="2"/>
              <w:sz w:val="48"/>
              <w:szCs w:val="48"/>
              <w:lang w:val="en-US" w:eastAsia="zh-CN" w:bidi="ar-SA"/>
            </w:rPr>
            <w:t>目录</w:t>
          </w:r>
        </w:p>
        <w:p>
          <w:pPr>
            <w:pStyle w:val="5"/>
            <w:rPr>
              <w:rStyle w:val="10"/>
              <w:rFonts w:hint="eastAsia" w:ascii="Times New Roman" w:hAnsi="Times New Roman" w:eastAsia="宋体" w:cs="Times New Roman"/>
              <w:kern w:val="2"/>
              <w:sz w:val="28"/>
              <w:szCs w:val="28"/>
              <w:lang w:val="en-US" w:eastAsia="zh-CN" w:bidi="ar-SA"/>
            </w:rPr>
          </w:pPr>
          <w:r>
            <w:rPr>
              <w:rFonts w:hint="eastAsia"/>
            </w:rPr>
            <w:t>公开时间：202</w:t>
          </w:r>
          <w:r>
            <w:rPr>
              <w:rFonts w:hint="eastAsia"/>
              <w:lang w:val="en-US" w:eastAsia="zh-CN"/>
            </w:rPr>
            <w:t>3</w:t>
          </w:r>
          <w:r>
            <w:rPr>
              <w:rFonts w:hint="eastAsia"/>
            </w:rPr>
            <w:t>年</w:t>
          </w:r>
          <w:r>
            <w:rPr>
              <w:rFonts w:hint="eastAsia"/>
              <w:lang w:val="en-US" w:eastAsia="zh-CN"/>
            </w:rPr>
            <w:t>4</w:t>
          </w:r>
          <w:r>
            <w:rPr>
              <w:rFonts w:hint="eastAsia"/>
            </w:rPr>
            <w:t>月</w:t>
          </w:r>
          <w:r>
            <w:rPr>
              <w:rFonts w:hint="eastAsia"/>
              <w:lang w:val="en-US" w:eastAsia="zh-CN"/>
            </w:rPr>
            <w:t>6</w:t>
          </w:r>
          <w:r>
            <w:rPr>
              <w:rFonts w:hint="eastAsia"/>
            </w:rPr>
            <w:t>日</w:t>
          </w:r>
        </w:p>
        <w:p>
          <w:pPr>
            <w:spacing w:before="0" w:beforeLines="0" w:after="0" w:afterLines="0" w:line="240" w:lineRule="auto"/>
            <w:ind w:left="0" w:leftChars="0" w:right="0" w:rightChars="0" w:firstLine="0" w:firstLineChars="0"/>
            <w:jc w:val="center"/>
            <w:rPr>
              <w:rStyle w:val="10"/>
              <w:rFonts w:hint="eastAsia" w:ascii="Times New Roman" w:hAnsi="Times New Roman" w:eastAsia="宋体" w:cs="Times New Roman"/>
              <w:kern w:val="2"/>
              <w:sz w:val="28"/>
              <w:szCs w:val="28"/>
              <w:lang w:val="en-US" w:eastAsia="zh-CN" w:bidi="ar-SA"/>
            </w:rPr>
          </w:pP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TOC \o "1-2" \h \u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_Toc8613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一、基本职能及主要工作</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_Toc8613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- 3 -</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_Toc6193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（一）综合执法局职能简介。</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_Toc6193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- 3 -</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_Toc6181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（二）综合执法局2023年重点工作。</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_Toc6181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- 5 -</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_Toc13167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二、部门预算单位构成情况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_Toc13167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- 7 -</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_Toc32337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三、收支预算情况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_Toc32337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- 8 -</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_Toc15583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（一）收入预算情况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_Toc15583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- 8 -</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_Toc840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（二）支出预算情况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_Toc840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- 8 -</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_Toc19138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四、财政拨款收支预算情况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_Toc19138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- 8 -</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_Toc356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五、一般公共预算当年拨款情况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_Toc356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9</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_Toc24256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（一）一般公共预算当年拨款规模变化情况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_Toc24256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9</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_Toc2452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（二）一般公共预算当年拨款结构情况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_Toc2452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9</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_Toc11338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（三）一般公共预算当年拨款具体使用情况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_Toc11338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9</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_Toc22211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六、一般公共预算基本支出情况说明</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_Toc22211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10</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_Toc27380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七、“三公”经费财政拨款预算安排情况说明</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_Toc27380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10</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_Toc20799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（一）因公出国（境）经费与2022年预算均为0。</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_Toc20799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11</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_Toc23736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（三）公务用车购置及运行维护费与2022年预算均为0。</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_Toc23736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11</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_Toc19059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八、政府性基金预算支出情况说明</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_Toc19059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11</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_Toc12099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九、国有资本经营预算情况说明</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_Toc12099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11</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_Toc7036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十、其他重要事项的情况说明</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_Toc7036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11</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_Toc22718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（一）机关运行经费情况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_Toc22718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11</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_Toc25955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（二）政府采购情况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_Toc25955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11</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_Toc21415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（三）国有资产占有使用情况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_Toc21415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11</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3"/>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_Toc26611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（四）预算绩效情况</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_Toc26611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12</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pStyle w:val="12"/>
            <w:tabs>
              <w:tab w:val="right" w:leader="dot" w:pos="8306"/>
            </w:tabs>
            <w:rPr>
              <w:rStyle w:val="10"/>
              <w:rFonts w:hint="eastAsia" w:ascii="Times New Roman" w:hAnsi="Times New Roman" w:eastAsia="宋体" w:cs="Times New Roman"/>
              <w:kern w:val="2"/>
              <w:sz w:val="28"/>
              <w:szCs w:val="28"/>
              <w:lang w:val="en-US" w:eastAsia="zh-CN" w:bidi="ar-SA"/>
            </w:rPr>
          </w:pP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HYPERLINK \l _Toc31419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十一、名词解释</w:t>
          </w:r>
          <w:r>
            <w:rPr>
              <w:rStyle w:val="10"/>
              <w:rFonts w:hint="eastAsia" w:ascii="Times New Roman" w:hAnsi="Times New Roman" w:eastAsia="宋体" w:cs="Times New Roman"/>
              <w:kern w:val="2"/>
              <w:sz w:val="28"/>
              <w:szCs w:val="28"/>
              <w:lang w:val="en-US" w:eastAsia="zh-CN" w:bidi="ar-SA"/>
            </w:rPr>
            <w:tab/>
          </w:r>
          <w:r>
            <w:rPr>
              <w:rStyle w:val="10"/>
              <w:rFonts w:hint="eastAsia" w:ascii="Times New Roman" w:hAnsi="Times New Roman" w:eastAsia="宋体" w:cs="Times New Roman"/>
              <w:kern w:val="2"/>
              <w:sz w:val="28"/>
              <w:szCs w:val="28"/>
              <w:lang w:val="en-US" w:eastAsia="zh-CN" w:bidi="ar-SA"/>
            </w:rPr>
            <w:fldChar w:fldCharType="begin"/>
          </w:r>
          <w:r>
            <w:rPr>
              <w:rStyle w:val="10"/>
              <w:rFonts w:hint="eastAsia" w:ascii="Times New Roman" w:hAnsi="Times New Roman" w:eastAsia="宋体" w:cs="Times New Roman"/>
              <w:kern w:val="2"/>
              <w:sz w:val="28"/>
              <w:szCs w:val="28"/>
              <w:lang w:val="en-US" w:eastAsia="zh-CN" w:bidi="ar-SA"/>
            </w:rPr>
            <w:instrText xml:space="preserve"> PAGEREF _Toc31419 \h </w:instrText>
          </w:r>
          <w:r>
            <w:rPr>
              <w:rStyle w:val="10"/>
              <w:rFonts w:hint="eastAsia" w:ascii="Times New Roman" w:hAnsi="Times New Roman" w:eastAsia="宋体" w:cs="Times New Roman"/>
              <w:kern w:val="2"/>
              <w:sz w:val="28"/>
              <w:szCs w:val="28"/>
              <w:lang w:val="en-US" w:eastAsia="zh-CN" w:bidi="ar-SA"/>
            </w:rPr>
            <w:fldChar w:fldCharType="separate"/>
          </w:r>
          <w:r>
            <w:rPr>
              <w:rStyle w:val="10"/>
              <w:rFonts w:hint="eastAsia" w:ascii="Times New Roman" w:hAnsi="Times New Roman" w:eastAsia="宋体" w:cs="Times New Roman"/>
              <w:kern w:val="2"/>
              <w:sz w:val="28"/>
              <w:szCs w:val="28"/>
              <w:lang w:val="en-US" w:eastAsia="zh-CN" w:bidi="ar-SA"/>
            </w:rPr>
            <w:t>12</w:t>
          </w:r>
          <w:r>
            <w:rPr>
              <w:rStyle w:val="10"/>
              <w:rFonts w:hint="eastAsia" w:ascii="Times New Roman" w:hAnsi="Times New Roman" w:eastAsia="宋体" w:cs="Times New Roman"/>
              <w:kern w:val="2"/>
              <w:sz w:val="28"/>
              <w:szCs w:val="28"/>
              <w:lang w:val="en-US" w:eastAsia="zh-CN" w:bidi="ar-SA"/>
            </w:rPr>
            <w:fldChar w:fldCharType="end"/>
          </w:r>
          <w:r>
            <w:rPr>
              <w:rStyle w:val="10"/>
              <w:rFonts w:hint="eastAsia" w:ascii="Times New Roman" w:hAnsi="Times New Roman" w:eastAsia="宋体" w:cs="Times New Roman"/>
              <w:kern w:val="2"/>
              <w:sz w:val="28"/>
              <w:szCs w:val="28"/>
              <w:lang w:val="en-US" w:eastAsia="zh-CN" w:bidi="ar-SA"/>
            </w:rPr>
            <w:fldChar w:fldCharType="end"/>
          </w:r>
        </w:p>
        <w:p>
          <w:pPr>
            <w:spacing w:line="600" w:lineRule="exact"/>
            <w:ind w:firstLine="560" w:firstLineChars="200"/>
            <w:rPr>
              <w:rFonts w:hint="eastAsia" w:ascii="Times New Roman" w:hAnsi="Times New Roman" w:eastAsia="仿宋_GB2312"/>
              <w:sz w:val="32"/>
              <w:szCs w:val="32"/>
              <w:highlight w:val="none"/>
              <w:lang w:eastAsia="zh-CN"/>
            </w:rPr>
          </w:pPr>
          <w:r>
            <w:rPr>
              <w:rStyle w:val="10"/>
              <w:rFonts w:hint="eastAsia" w:ascii="Times New Roman" w:hAnsi="Times New Roman" w:eastAsia="宋体" w:cs="Times New Roman"/>
              <w:kern w:val="2"/>
              <w:sz w:val="28"/>
              <w:szCs w:val="28"/>
              <w:lang w:val="en-US" w:eastAsia="zh-CN" w:bidi="ar-SA"/>
            </w:rPr>
            <w:fldChar w:fldCharType="end"/>
          </w:r>
        </w:p>
      </w:sdtContent>
    </w:sdt>
    <w:p>
      <w:pPr>
        <w:spacing w:line="600" w:lineRule="exact"/>
        <w:ind w:firstLine="640" w:firstLineChars="200"/>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pStyle w:val="3"/>
        <w:rPr>
          <w:rFonts w:hint="eastAsia" w:ascii="Times New Roman" w:hAnsi="Times New Roman" w:eastAsia="黑体"/>
          <w:sz w:val="32"/>
          <w:szCs w:val="32"/>
          <w:highlight w:val="none"/>
        </w:rPr>
      </w:pPr>
    </w:p>
    <w:p>
      <w:pPr>
        <w:spacing w:line="600" w:lineRule="exact"/>
        <w:ind w:firstLine="640" w:firstLineChars="200"/>
        <w:outlineLvl w:val="0"/>
        <w:rPr>
          <w:rFonts w:hint="eastAsia" w:ascii="Times New Roman" w:hAnsi="Times New Roman" w:eastAsia="黑体" w:cs="Times New Roman"/>
          <w:kern w:val="0"/>
          <w:sz w:val="32"/>
          <w:szCs w:val="32"/>
          <w:highlight w:val="none"/>
          <w:lang w:val="en-US" w:eastAsia="zh-CN" w:bidi="ar"/>
        </w:rPr>
      </w:pPr>
      <w:bookmarkStart w:id="1" w:name="_Toc8613"/>
      <w:r>
        <w:rPr>
          <w:rFonts w:hint="eastAsia" w:ascii="Times New Roman" w:hAnsi="Times New Roman" w:eastAsia="黑体" w:cs="Times New Roman"/>
          <w:kern w:val="0"/>
          <w:sz w:val="32"/>
          <w:szCs w:val="32"/>
          <w:highlight w:val="none"/>
          <w:lang w:val="en-US" w:eastAsia="zh-CN" w:bidi="ar"/>
        </w:rPr>
        <w:t>一、基本职能及主要工作</w:t>
      </w:r>
      <w:bookmarkEnd w:id="1"/>
    </w:p>
    <w:p>
      <w:pPr>
        <w:spacing w:line="600" w:lineRule="exact"/>
        <w:ind w:firstLine="643" w:firstLineChars="200"/>
        <w:outlineLvl w:val="1"/>
        <w:rPr>
          <w:rFonts w:hint="eastAsia" w:ascii="Times New Roman" w:hAnsi="Times New Roman" w:eastAsia="楷体_GB2312"/>
          <w:b/>
          <w:sz w:val="32"/>
          <w:szCs w:val="32"/>
          <w:highlight w:val="none"/>
        </w:rPr>
      </w:pPr>
      <w:bookmarkStart w:id="2" w:name="_Toc6193"/>
      <w:r>
        <w:rPr>
          <w:rFonts w:hint="eastAsia" w:ascii="Times New Roman" w:hAnsi="Times New Roman" w:eastAsia="楷体_GB2312"/>
          <w:b/>
          <w:sz w:val="32"/>
          <w:szCs w:val="32"/>
          <w:highlight w:val="none"/>
        </w:rPr>
        <w:t>（一）</w:t>
      </w:r>
      <w:r>
        <w:rPr>
          <w:rFonts w:hint="eastAsia" w:ascii="Times New Roman" w:hAnsi="Times New Roman" w:eastAsia="楷体_GB2312"/>
          <w:b/>
          <w:sz w:val="32"/>
          <w:szCs w:val="32"/>
          <w:highlight w:val="none"/>
          <w:lang w:eastAsia="zh-CN"/>
        </w:rPr>
        <w:t>综合执法局</w:t>
      </w:r>
      <w:r>
        <w:rPr>
          <w:rFonts w:hint="eastAsia" w:ascii="Times New Roman" w:hAnsi="Times New Roman" w:eastAsia="楷体_GB2312"/>
          <w:b/>
          <w:sz w:val="32"/>
          <w:szCs w:val="32"/>
          <w:highlight w:val="none"/>
        </w:rPr>
        <w:t>职能简介。</w:t>
      </w:r>
      <w:bookmarkEnd w:id="2"/>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1、贯彻执行国家、省、市城市管理的法律、法规和政策;起草全区城市行政管理的规范性文件并组织实施。</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2、对涉及城市管理行政执法的各项工作进行综合协调、督促检查。</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3、负责收集社会各界对城市综合管理的意见,办理有关城市管理的来信来访,承接人大代表、政协委员有关城市管理的议案、建议、提案;受理涉及城市管理行政处罚的举报投诉。</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4、承担数字化城市管理职责和区城市管理委员会办公室的日常工作;负责区政府依法确定的,与城市管理密切相关、需要纳入统一管理的公共空间秩序管理、违法建设治理、环境保护管理等方面的部分工作。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5、负责市政管理、环境管理和城市规划实施管理等职责。具体包括:负责市政公用设施运行管理,负责市容环境卫生、城区亮化和节日氛围营造等;负责区政府依法确定的与城市管理密切相关需要纳入统一管理的公共空间秩序理、违法建设治理、环境保护管理等。</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6、承担区政府公布的有关行政审批事项</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7、负责职责范围内的安全生产、职业健康管理、审批服务便民化等有关职责。</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8、完成区委、区政府交办的其他任务。</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9、综合执法范围。在城市规划区内,区综合执法局履行原区城管执法局以下职责:住房城乡规划建设领域法律法规规章规定的行政处罚权;环境保护管理方面建筑施工噪声污染、建筑施工扬尘污染、餐饮服务业油烟污染、露天烧烤污染、城市焚烧沥青塑料垃圾等烟尘和恶臭污染、露天焚烧秸秆落叶等烟尘污染的行政处罚权;工商管理方面户外公共场所无照经营、违规设置户外广告的行政处罚权;水务管理方面向城市河道倾倒废弃物和垃圾及违规取土、城市河道违法建筑物拆除等的行政处罚权;食品药品监管方面户外公共场所食品销售和餐饮摊点无证经营、违法回收贩卖药品等的行政处罚权。区综合执法局依法依规实施纳入综合行政执法范围内的法律、法规、规章规定的行政处罚有关的行政强制措施。</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10、监管与行政执法有关职责分工。区综合执法局负责原城市管理行政执法局市容环卫、城市环境保护(建筑施工作业环境噪声污染、餐饮场所安装油烟净化设施)、占道经营领域巡查职能;负责对业务主管部门实施责令改正或停止违法行为等监管程序以后移交的违法案件实施行政处罚及行政强制工作,对做出的行政执法决定及执法过程中发现的问题,及时通报相关业务主管部门;在行使职权过程中需要相关业务主管部门及专业机构提供审批材料、技术鉴定和后续补救措施的,相关业务主管部门应积极做好协调配合工作。</w:t>
      </w:r>
    </w:p>
    <w:p>
      <w:pPr>
        <w:spacing w:line="600" w:lineRule="exact"/>
        <w:ind w:firstLine="643" w:firstLineChars="200"/>
        <w:outlineLvl w:val="1"/>
        <w:rPr>
          <w:rFonts w:hint="eastAsia" w:ascii="Times New Roman" w:hAnsi="Times New Roman" w:eastAsia="楷体_GB2312"/>
          <w:b/>
          <w:sz w:val="32"/>
          <w:szCs w:val="32"/>
          <w:highlight w:val="none"/>
          <w:lang w:eastAsia="zh-CN"/>
        </w:rPr>
      </w:pPr>
      <w:bookmarkStart w:id="3" w:name="_Toc6181"/>
      <w:r>
        <w:rPr>
          <w:rFonts w:hint="eastAsia" w:ascii="Times New Roman" w:hAnsi="Times New Roman" w:eastAsia="楷体_GB2312"/>
          <w:b/>
          <w:sz w:val="32"/>
          <w:szCs w:val="32"/>
          <w:highlight w:val="none"/>
        </w:rPr>
        <w:t>（二）</w:t>
      </w:r>
      <w:r>
        <w:rPr>
          <w:rFonts w:hint="eastAsia" w:ascii="Times New Roman" w:hAnsi="Times New Roman" w:eastAsia="楷体_GB2312"/>
          <w:b/>
          <w:sz w:val="32"/>
          <w:szCs w:val="32"/>
          <w:highlight w:val="none"/>
          <w:lang w:eastAsia="zh-CN"/>
        </w:rPr>
        <w:t>综合执法局202</w:t>
      </w:r>
      <w:r>
        <w:rPr>
          <w:rFonts w:hint="eastAsia" w:ascii="Times New Roman" w:hAnsi="Times New Roman" w:eastAsia="楷体_GB2312"/>
          <w:b/>
          <w:sz w:val="32"/>
          <w:szCs w:val="32"/>
          <w:highlight w:val="none"/>
          <w:lang w:val="en-US" w:eastAsia="zh-CN"/>
        </w:rPr>
        <w:t>3</w:t>
      </w:r>
      <w:r>
        <w:rPr>
          <w:rFonts w:hint="eastAsia" w:ascii="Times New Roman" w:hAnsi="Times New Roman" w:eastAsia="楷体_GB2312"/>
          <w:b/>
          <w:sz w:val="32"/>
          <w:szCs w:val="32"/>
          <w:highlight w:val="none"/>
          <w:lang w:eastAsia="zh-CN"/>
        </w:rPr>
        <w:t>年</w:t>
      </w:r>
      <w:r>
        <w:rPr>
          <w:rFonts w:hint="eastAsia" w:ascii="Times New Roman" w:hAnsi="Times New Roman" w:eastAsia="楷体_GB2312"/>
          <w:b/>
          <w:sz w:val="32"/>
          <w:szCs w:val="32"/>
          <w:highlight w:val="none"/>
        </w:rPr>
        <w:t>重点工作。</w:t>
      </w:r>
      <w:bookmarkEnd w:id="3"/>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　　2023年，我局将全面贯彻落实党的二十大和习近平总书记来川视察重要指示精神，以习近平新时代中国特色社会主义思想为指导，牢固树立“以人为本、管治结合、网格精细”的城市管理理念，围绕“一个抓手、二场战役、三项提升”123工作思路，建立管理更精细、环境更优美、秩序更规范的城管执法体系，为打造“小城大美”公园城市奠定坚实基础。</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一）牢牢把握一个抓手。以城市精细管理为抓手，推进“四化建设”，让城市环境更优、秩序更好。一是职责具体化。制定出台城管队员“一重、二管、三巡、四查”工作十条，把城市管理和整治重点工作精细化、具体化，让每名队员都简单明了知晓自己在巡逻时该干什么、重点注意什么，特别是将安全生产放在与秩序维护同等高度，确保城市管理安全有序；二是区域网格化。将城区两个街道划分为6个组、30个网格单元，把街面48名队员按6组白班夜班拉通划分到网格之中，重点区域人员加密，实现全覆盖；三是巡查数字化。对街面队员全年拉通排班，网格单元对号入座，每天4次巡查，白班夜班错时上班，确保不断档；四是督导常态化。综合执法一大队安排5名干部每天带班督导，带队处理城市管理、综合执法中发现问题，局班子成员每周排班，每天随机抽查网格单元、环境秩序情况，逗硬考核、通报问责、减分惩罚，打造一支纪律分明、作风高效的城管队伍。</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二）坚决打好二场战役。一是打好安全生产守卫战。着力推进广告店招、市政设施、占道经营、渣土运输、违法建设、环卫设施领域的安全生产工作。重点排查户外大型广告、店招结构是否牢固；排査市政道路、市政管网、城市桥梁隧道、交通安全管理设施等市政公用设施，及时移交问题到权属单位，并督促整改销号；排查整治公共区域游乐设施（场所）、餐饮行业燃气管线私拉乱接、流摊液化气罐等占道经营行为；排查建筑渣土堆体稳定性、建筑渣土运输车辆，建立“一企一车一档”，严厉查处擅自设置弃置场；查处擅自对地下空间进行开挖、擅自改变房屋结构、违法搭建建筑物和构筑物堵塞消防通道、占压（圈占）燃气设施、工程项目违法分包、转包和以包代管、燃气领域违法等行为；排查环卫工人安全作业情况、垃圾转运站、公厕、环卫车辆、环卫机械、垃圾打捞船等设备的安全运营和管理情况，及时消除安全隐患。二是打好生态环保攻坚战。坚持高位推动，对城市道路扬尘污染治理、餐饮油烟治理、露天焚烧污染治理和道路冲洗保洁等工作进行安排部署，紧盯春节、清明节和中秋节等传统节日、重要节点，广泛宣传城区禁燃禁放，增派值守人员，增加城市道路冲洗抑尘作业频次。持续加大对环保案件查处力度，实施严管重罚，对一些顶风作案和屡教不改的违法行为，如油烟净化器无法正常使用且不整改的餐饮企业，依法予以重处。进一步加强对建筑工地和新建小区等建筑垃圾处置单位的管理，督促相关企业落实扬尘治理措施，从源头杜绝和减少扬尘发生。</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全力实现三项提升。一是全面提升队伍素质。坚持党建引领，深入学习宣传贯彻党的二十大精神，巩固党史教育等活动成果。抓牢意识形态工作，加强对意识形态阵地、导向、队伍的管理，强化舆论引导，维护网络意识形态安全；着力服务为民，宣传造势，维护执法队伍好形象，传播社会正能量。狠抓党风廉政建设工作，结合改革后大队机构设置和岗位编制，修订完善廉政风险点及防控措施，提高干部队伍廉洁从政水平。强化党员纪律意识和规矩意识，落实“一岗双责”，推动全面从严治党走向严实硬。二是全面提升环境卫生。深化城乡环卫一体化，继续完善环卫配套设施建设，实现环卫机械化作业率达95%以上。以推进生活垃圾分类为目标，深入推进城市垃圾综合治理，实现城市生活垃圾日产日清。三是全面提升执法效能。结合街长制及“智慧城管”管控，提高城市硬件设施管理水平，推进全市“智慧城管”指挥系统运行。严格执法标准，建立市容管理、执法办案、行政审批等工作规程，严格按照《城乡规划法》等法律规定逗硬执法。持续推进“一支队伍管执法”，配合编办完成综合执法权向乡镇下放，建立健全“1+8”体制机制，推进前锋城市管理与综合执法体制机制架构重塑　</w:t>
      </w:r>
    </w:p>
    <w:p>
      <w:pPr>
        <w:spacing w:line="600" w:lineRule="exact"/>
        <w:ind w:firstLine="640" w:firstLineChars="200"/>
        <w:outlineLvl w:val="0"/>
        <w:rPr>
          <w:rFonts w:hint="eastAsia" w:ascii="Times New Roman" w:hAnsi="Times New Roman" w:eastAsia="黑体" w:cs="Times New Roman"/>
          <w:kern w:val="0"/>
          <w:sz w:val="32"/>
          <w:szCs w:val="32"/>
          <w:highlight w:val="none"/>
          <w:lang w:val="en-US" w:eastAsia="zh-CN" w:bidi="ar"/>
        </w:rPr>
      </w:pPr>
      <w:bookmarkStart w:id="4" w:name="_Toc13167"/>
      <w:r>
        <w:rPr>
          <w:rFonts w:hint="eastAsia" w:ascii="Times New Roman" w:hAnsi="Times New Roman" w:eastAsia="黑体" w:cs="Times New Roman"/>
          <w:kern w:val="0"/>
          <w:sz w:val="32"/>
          <w:szCs w:val="32"/>
          <w:highlight w:val="none"/>
          <w:lang w:val="en-US" w:eastAsia="zh-CN" w:bidi="ar"/>
        </w:rPr>
        <w:t>二、部门预算单位构成情况</w:t>
      </w:r>
      <w:bookmarkEnd w:id="4"/>
    </w:p>
    <w:p>
      <w:pPr>
        <w:pStyle w:val="3"/>
        <w:adjustRightInd w:val="0"/>
        <w:spacing w:before="130" w:line="580" w:lineRule="exact"/>
        <w:ind w:firstLine="672" w:firstLineChars="210"/>
        <w:rPr>
          <w:rFonts w:ascii="Times New Roman" w:hAnsi="Times New Roman" w:eastAsia="仿宋_GB2312"/>
          <w:sz w:val="32"/>
          <w:szCs w:val="32"/>
          <w:highlight w:val="none"/>
        </w:rPr>
      </w:pPr>
      <w:r>
        <w:rPr>
          <w:rFonts w:hint="eastAsia" w:ascii="Times New Roman" w:hAnsi="Times New Roman" w:eastAsia="仿宋_GB2312" w:cs="仿宋_GB2312"/>
          <w:sz w:val="32"/>
          <w:highlight w:val="none"/>
          <w:lang w:eastAsia="zh-CN"/>
        </w:rPr>
        <w:t>综合执法局</w:t>
      </w:r>
      <w:r>
        <w:rPr>
          <w:rFonts w:hint="eastAsia" w:ascii="Times New Roman" w:hAnsi="Times New Roman" w:eastAsia="仿宋_GB2312" w:cs="仿宋_GB2312"/>
          <w:sz w:val="32"/>
          <w:highlight w:val="none"/>
        </w:rPr>
        <w:t>下属二级预算单位</w:t>
      </w:r>
      <w:r>
        <w:rPr>
          <w:rFonts w:hint="eastAsia" w:ascii="Times New Roman" w:hAnsi="Times New Roman" w:eastAsia="仿宋_GB2312" w:cs="仿宋_GB2312"/>
          <w:sz w:val="32"/>
          <w:highlight w:val="none"/>
          <w:lang w:val="en-US" w:eastAsia="zh-CN"/>
        </w:rPr>
        <w:t>4</w:t>
      </w:r>
      <w:r>
        <w:rPr>
          <w:rFonts w:hint="eastAsia" w:ascii="Times New Roman" w:hAnsi="Times New Roman" w:eastAsia="仿宋_GB2312" w:cs="仿宋_GB2312"/>
          <w:sz w:val="32"/>
          <w:highlight w:val="none"/>
        </w:rPr>
        <w:t>个，其中参照公务员法管理的事业单位</w:t>
      </w:r>
      <w:r>
        <w:rPr>
          <w:rFonts w:hint="eastAsia" w:ascii="Times New Roman" w:hAnsi="Times New Roman" w:eastAsia="仿宋_GB2312" w:cs="仿宋_GB2312"/>
          <w:sz w:val="32"/>
          <w:highlight w:val="none"/>
          <w:lang w:val="en-US" w:eastAsia="zh-CN"/>
        </w:rPr>
        <w:t>3</w:t>
      </w:r>
      <w:r>
        <w:rPr>
          <w:rFonts w:hint="eastAsia" w:ascii="Times New Roman" w:hAnsi="Times New Roman" w:eastAsia="仿宋_GB2312" w:cs="仿宋_GB2312"/>
          <w:sz w:val="32"/>
          <w:highlight w:val="none"/>
        </w:rPr>
        <w:t>个，其他事业单位</w:t>
      </w:r>
      <w:r>
        <w:rPr>
          <w:rFonts w:hint="eastAsia" w:ascii="Times New Roman" w:hAnsi="Times New Roman" w:eastAsia="仿宋_GB2312" w:cs="仿宋_GB2312"/>
          <w:sz w:val="32"/>
          <w:highlight w:val="none"/>
          <w:lang w:val="en-US" w:eastAsia="zh-CN"/>
        </w:rPr>
        <w:t>1</w:t>
      </w:r>
      <w:r>
        <w:rPr>
          <w:rFonts w:hint="eastAsia" w:ascii="Times New Roman" w:hAnsi="Times New Roman" w:eastAsia="仿宋_GB2312" w:cs="仿宋_GB2312"/>
          <w:sz w:val="32"/>
          <w:highlight w:val="none"/>
        </w:rPr>
        <w:t>个。</w:t>
      </w:r>
      <w:r>
        <w:rPr>
          <w:rFonts w:hint="eastAsia" w:ascii="Times New Roman" w:hAnsi="Times New Roman" w:eastAsia="仿宋_GB2312" w:cs="仿宋_GB2312"/>
          <w:sz w:val="32"/>
          <w:highlight w:val="none"/>
          <w:lang w:eastAsia="zh-CN"/>
        </w:rPr>
        <w:t>主要包括：广安市前锋区城乡建设监察大队、广安市前锋区城市管理综合执法一大队、广安市前锋区城市管理综合执法二大队、广安市前锋区城市管理服务中心</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cs="Times New Roman"/>
          <w:kern w:val="2"/>
          <w:sz w:val="32"/>
          <w:szCs w:val="32"/>
          <w:highlight w:val="none"/>
          <w:lang w:val="en-US" w:eastAsia="zh-CN" w:bidi="ar-SA"/>
        </w:rPr>
        <w:t>总编制48名，其中：行政编制8名、参照公务员法管理事业人员编制38名、事业编制2名。在职人员总数33人，其中：行政人员9人、参照公务员法管理事业人员19人、事业人员5人，退休人员2人，</w:t>
      </w:r>
      <w:r>
        <w:rPr>
          <w:rFonts w:hint="eastAsia" w:ascii="Times New Roman" w:hAnsi="Times New Roman" w:eastAsia="仿宋_GB2312"/>
          <w:sz w:val="32"/>
          <w:szCs w:val="32"/>
          <w:highlight w:val="none"/>
        </w:rPr>
        <w:t>内设</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个科室，主要包括：办公室、财务装备股、政策法规股、城市管理股。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0"/>
        <w:rPr>
          <w:rFonts w:hint="eastAsia" w:ascii="Times New Roman" w:hAnsi="Times New Roman" w:eastAsia="黑体" w:cs="Times New Roman"/>
          <w:sz w:val="32"/>
          <w:szCs w:val="32"/>
          <w:highlight w:val="none"/>
        </w:rPr>
      </w:pPr>
      <w:bookmarkStart w:id="5" w:name="_Toc32337"/>
      <w:r>
        <w:rPr>
          <w:rFonts w:hint="eastAsia" w:ascii="Times New Roman" w:hAnsi="Times New Roman" w:eastAsia="黑体" w:cs="Times New Roman"/>
          <w:sz w:val="32"/>
          <w:szCs w:val="32"/>
          <w:highlight w:val="none"/>
          <w:lang w:eastAsia="zh-CN"/>
        </w:rPr>
        <w:t>三</w:t>
      </w:r>
      <w:r>
        <w:rPr>
          <w:rFonts w:hint="eastAsia" w:ascii="Times New Roman" w:hAnsi="Times New Roman" w:eastAsia="黑体" w:cs="Times New Roman"/>
          <w:sz w:val="32"/>
          <w:szCs w:val="32"/>
          <w:highlight w:val="none"/>
        </w:rPr>
        <w:t>、收支</w:t>
      </w:r>
      <w:r>
        <w:rPr>
          <w:rFonts w:hint="eastAsia" w:ascii="Times New Roman" w:hAnsi="Times New Roman" w:eastAsia="黑体" w:cs="Times New Roman"/>
          <w:sz w:val="32"/>
          <w:szCs w:val="32"/>
          <w:highlight w:val="none"/>
          <w:lang w:eastAsia="zh-CN"/>
        </w:rPr>
        <w:t>预算情况</w:t>
      </w:r>
      <w:bookmarkEnd w:id="5"/>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lang w:eastAsia="zh-CN"/>
        </w:rPr>
        <w:t>综合执法局</w:t>
      </w:r>
      <w:r>
        <w:rPr>
          <w:rFonts w:hint="eastAsia" w:ascii="Times New Roman" w:hAnsi="Times New Roman" w:eastAsia="仿宋_GB2312" w:cs="Times New Roman"/>
          <w:sz w:val="32"/>
          <w:szCs w:val="32"/>
          <w:highlight w:val="none"/>
        </w:rPr>
        <w:t>所有收入和支出均纳入部门预算管理。收入包括：一般公共预算拨款收入；支出包括：一般公共服务支出。</w:t>
      </w:r>
      <w:r>
        <w:rPr>
          <w:rFonts w:hint="eastAsia" w:ascii="Times New Roman" w:hAnsi="Times New Roman" w:eastAsia="仿宋_GB2312" w:cs="Times New Roman"/>
          <w:sz w:val="32"/>
          <w:szCs w:val="32"/>
          <w:highlight w:val="none"/>
          <w:lang w:eastAsia="zh-CN"/>
        </w:rPr>
        <w:t>综合执法局202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收支预算总数</w:t>
      </w:r>
      <w:r>
        <w:rPr>
          <w:rFonts w:hint="eastAsia"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lang w:val="en-US" w:eastAsia="zh-CN"/>
        </w:rPr>
        <w:t>121.84</w:t>
      </w:r>
      <w:r>
        <w:rPr>
          <w:rFonts w:hint="eastAsia"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公用经费下降，机关厉行节约</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lang w:val="en-US" w:eastAsia="zh-CN"/>
        </w:rPr>
      </w:pPr>
      <w:bookmarkStart w:id="6" w:name="_Toc15583"/>
      <w:r>
        <w:rPr>
          <w:rFonts w:hint="eastAsia" w:ascii="Times New Roman" w:hAnsi="Times New Roman" w:eastAsia="楷体_GB2312" w:cs="Times New Roman"/>
          <w:b/>
          <w:sz w:val="32"/>
          <w:szCs w:val="32"/>
          <w:highlight w:val="none"/>
          <w:lang w:val="en-US" w:eastAsia="zh-CN"/>
        </w:rPr>
        <w:t>（一）收入预算情况</w:t>
      </w:r>
      <w:bookmarkEnd w:id="6"/>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综合执法局202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收入预算</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万元，其中：上年结转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%；一般公共预算拨款收入</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lang w:val="en-US" w:eastAsia="zh-CN"/>
        </w:rPr>
      </w:pPr>
      <w:bookmarkStart w:id="7" w:name="_Toc840"/>
      <w:r>
        <w:rPr>
          <w:rFonts w:hint="eastAsia" w:ascii="Times New Roman" w:hAnsi="Times New Roman" w:eastAsia="楷体_GB2312" w:cs="Times New Roman"/>
          <w:b/>
          <w:sz w:val="32"/>
          <w:szCs w:val="32"/>
          <w:highlight w:val="none"/>
          <w:lang w:val="en-US" w:eastAsia="zh-CN"/>
        </w:rPr>
        <w:t>（二）支出预算情况</w:t>
      </w:r>
      <w:bookmarkEnd w:id="7"/>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lang w:eastAsia="zh-CN"/>
        </w:rPr>
        <w:t>综合执法局202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8" w:name="_Toc19138"/>
      <w:r>
        <w:rPr>
          <w:rFonts w:hint="eastAsia" w:ascii="Times New Roman" w:hAnsi="Times New Roman" w:eastAsia="黑体" w:cs="Times New Roman"/>
          <w:sz w:val="32"/>
          <w:szCs w:val="32"/>
          <w:highlight w:val="none"/>
          <w:lang w:eastAsia="zh-CN"/>
        </w:rPr>
        <w:t>四、</w:t>
      </w:r>
      <w:r>
        <w:rPr>
          <w:rFonts w:hint="eastAsia" w:ascii="Times New Roman" w:hAnsi="Times New Roman" w:eastAsia="黑体" w:cs="Times New Roman"/>
          <w:sz w:val="32"/>
          <w:szCs w:val="32"/>
          <w:highlight w:val="none"/>
        </w:rPr>
        <w:t>财政拨款收支</w:t>
      </w:r>
      <w:r>
        <w:rPr>
          <w:rFonts w:hint="eastAsia" w:ascii="Times New Roman" w:hAnsi="Times New Roman" w:eastAsia="黑体" w:cs="Times New Roman"/>
          <w:sz w:val="32"/>
          <w:szCs w:val="32"/>
          <w:highlight w:val="none"/>
          <w:lang w:eastAsia="zh-CN"/>
        </w:rPr>
        <w:t>预算情况</w:t>
      </w:r>
      <w:bookmarkEnd w:id="8"/>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综合执法局202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财政拨款收支预算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财政拨款收支预算</w:t>
      </w:r>
      <w:r>
        <w:rPr>
          <w:rFonts w:hint="eastAsia"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lang w:val="en-US" w:eastAsia="zh-CN"/>
        </w:rPr>
        <w:t>121.84</w:t>
      </w:r>
      <w:r>
        <w:rPr>
          <w:rFonts w:hint="eastAsia"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公用经费下降</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3"/>
          <w:cols w:space="720" w:num="1"/>
          <w:docGrid w:type="lines" w:linePitch="312" w:charSpace="0"/>
        </w:sectPr>
      </w:pP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rPr>
        <w:t>收入包括：本年一般公共预算拨款收入</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万元；支出包括：一般公共服务支出</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9" w:name="_Toc356"/>
      <w:r>
        <w:rPr>
          <w:rFonts w:hint="eastAsia" w:ascii="Times New Roman" w:hAnsi="Times New Roman" w:eastAsia="黑体" w:cs="Times New Roman"/>
          <w:sz w:val="32"/>
          <w:szCs w:val="32"/>
          <w:highlight w:val="none"/>
          <w:lang w:eastAsia="zh-CN"/>
        </w:rPr>
        <w:t>五、</w:t>
      </w:r>
      <w:r>
        <w:rPr>
          <w:rFonts w:hint="eastAsia" w:ascii="Times New Roman" w:hAnsi="Times New Roman" w:eastAsia="黑体" w:cs="Times New Roman"/>
          <w:sz w:val="32"/>
          <w:szCs w:val="32"/>
          <w:highlight w:val="none"/>
        </w:rPr>
        <w:t>一般公共预算</w:t>
      </w:r>
      <w:r>
        <w:rPr>
          <w:rFonts w:hint="eastAsia" w:ascii="Times New Roman" w:hAnsi="Times New Roman" w:eastAsia="黑体" w:cs="Times New Roman"/>
          <w:sz w:val="32"/>
          <w:szCs w:val="32"/>
          <w:highlight w:val="none"/>
          <w:lang w:eastAsia="zh-CN"/>
        </w:rPr>
        <w:t>当年拨款情况</w:t>
      </w:r>
      <w:bookmarkEnd w:id="9"/>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bookmarkStart w:id="10" w:name="_Toc24256"/>
      <w:r>
        <w:rPr>
          <w:rFonts w:hint="eastAsia" w:ascii="Times New Roman" w:hAnsi="Times New Roman" w:eastAsia="楷体_GB2312" w:cs="Times New Roman"/>
          <w:b/>
          <w:sz w:val="32"/>
          <w:szCs w:val="32"/>
          <w:highlight w:val="none"/>
        </w:rPr>
        <w:t>（一）一般公共预算当年拨款规模变化情况</w:t>
      </w:r>
      <w:bookmarkEnd w:id="10"/>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综合执法局202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一般公共预算当年拨款</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u w:val="none"/>
        </w:rPr>
        <w:t>减少</w:t>
      </w:r>
      <w:r>
        <w:rPr>
          <w:rFonts w:hint="eastAsia" w:ascii="Times New Roman" w:hAnsi="Times New Roman" w:eastAsia="仿宋_GB2312" w:cs="Times New Roman"/>
          <w:sz w:val="32"/>
          <w:szCs w:val="32"/>
          <w:highlight w:val="none"/>
          <w:lang w:val="en-US" w:eastAsia="zh-CN"/>
        </w:rPr>
        <w:t>121.84</w:t>
      </w:r>
      <w:r>
        <w:rPr>
          <w:rFonts w:hint="eastAsia"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sz w:val="32"/>
          <w:szCs w:val="32"/>
          <w:highlight w:val="none"/>
          <w:lang w:eastAsia="zh-CN"/>
        </w:rPr>
        <w:t>公用经费下降</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bookmarkStart w:id="11" w:name="_Toc2452"/>
      <w:r>
        <w:rPr>
          <w:rFonts w:hint="eastAsia" w:ascii="Times New Roman" w:hAnsi="Times New Roman" w:eastAsia="楷体_GB2312" w:cs="Times New Roman"/>
          <w:b/>
          <w:sz w:val="32"/>
          <w:szCs w:val="32"/>
          <w:highlight w:val="none"/>
        </w:rPr>
        <w:t>（二）一般公共预算当年拨款结构情况</w:t>
      </w:r>
      <w:bookmarkEnd w:id="11"/>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一般公共服务支出</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100</w:t>
      </w:r>
      <w:r>
        <w:rPr>
          <w:rFonts w:hint="eastAsia" w:ascii="Times New Roman" w:hAnsi="Times New Roman" w:eastAsia="仿宋_GB2312" w:cs="Times New Roman"/>
          <w:sz w:val="32"/>
          <w:szCs w:val="32"/>
          <w:highlight w:val="none"/>
        </w:rPr>
        <w:t>%。</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bookmarkStart w:id="12" w:name="_Toc11338"/>
      <w:r>
        <w:rPr>
          <w:rFonts w:hint="eastAsia" w:ascii="Times New Roman" w:hAnsi="Times New Roman" w:eastAsia="楷体_GB2312" w:cs="Times New Roman"/>
          <w:b/>
          <w:sz w:val="32"/>
          <w:szCs w:val="32"/>
          <w:highlight w:val="none"/>
        </w:rPr>
        <w:t>（三）一般公共预算当年拨款具体使用情况</w:t>
      </w:r>
      <w:bookmarkEnd w:id="12"/>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1.社会保障和就业（类）行政事业单位养老支出（款）机关事业单位基本养老保险缴费支出（项）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48.9</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行政事业人员购买养老保险</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2.医疗卫生与计划生育（类）行政事业单位医疗（款）  行政单位医疗（项）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12.71</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行政人员购买基本医疗保险</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 xml:space="preserve">3.医疗卫生与计划生育（类）行政事业单位医疗（款）  </w:t>
      </w:r>
      <w:r>
        <w:rPr>
          <w:rFonts w:hint="eastAsia" w:ascii="Times New Roman" w:hAnsi="Times New Roman" w:eastAsia="仿宋_GB2312" w:cs="Times New Roman"/>
          <w:sz w:val="32"/>
          <w:szCs w:val="32"/>
          <w:highlight w:val="none"/>
          <w:lang w:eastAsia="zh-CN"/>
        </w:rPr>
        <w:t>事业</w:t>
      </w:r>
      <w:r>
        <w:rPr>
          <w:rFonts w:hint="eastAsia" w:ascii="Times New Roman" w:hAnsi="Times New Roman" w:eastAsia="仿宋_GB2312" w:cs="Times New Roman"/>
          <w:sz w:val="32"/>
          <w:szCs w:val="32"/>
          <w:highlight w:val="none"/>
        </w:rPr>
        <w:t>单位医疗（项）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0.54</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事业人员购买基本医疗保险</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 xml:space="preserve">.医疗卫生与计划生育（类）行政事业单位医疗（款）  </w:t>
      </w:r>
      <w:r>
        <w:rPr>
          <w:rFonts w:hint="eastAsia" w:ascii="Times New Roman" w:hAnsi="Times New Roman" w:eastAsia="仿宋_GB2312" w:cs="Times New Roman"/>
          <w:sz w:val="32"/>
          <w:szCs w:val="32"/>
          <w:highlight w:val="none"/>
          <w:lang w:eastAsia="zh-CN"/>
        </w:rPr>
        <w:t>公务员医疗补助</w:t>
      </w:r>
      <w:r>
        <w:rPr>
          <w:rFonts w:hint="eastAsia"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3.91</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行政人员购买公务员医疗补助</w:t>
      </w:r>
      <w:r>
        <w:rPr>
          <w:rFonts w:hint="eastAsia" w:ascii="Times New Roman" w:hAnsi="Times New Roman" w:eastAsia="仿宋_GB2312" w:cs="Times New Roman"/>
          <w:sz w:val="32"/>
          <w:szCs w:val="32"/>
          <w:highlight w:val="none"/>
        </w:rPr>
        <w:t>。</w:t>
      </w:r>
    </w:p>
    <w:p>
      <w:pPr>
        <w:pStyle w:val="2"/>
        <w:rPr>
          <w:rFonts w:hint="eastAsia"/>
        </w:rPr>
      </w:pP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城乡社区支出(类)城乡社区管理事务(款)  行政运行(项):202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283.98</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行政人员办公费用</w:t>
      </w:r>
      <w:r>
        <w:rPr>
          <w:rFonts w:hint="eastAsia" w:ascii="Times New Roman" w:hAnsi="Times New Roman" w:eastAsia="仿宋_GB2312" w:cs="Times New Roman"/>
          <w:sz w:val="32"/>
          <w:szCs w:val="32"/>
          <w:highlight w:val="none"/>
        </w:rPr>
        <w:t>。</w:t>
      </w:r>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城乡社区支出(类)城乡社区管理事务(款)  城管执法(项):202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507.08</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开展执法工作费用</w:t>
      </w:r>
      <w:r>
        <w:rPr>
          <w:rFonts w:hint="eastAsia"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lang w:eastAsia="zh-CN"/>
        </w:rPr>
        <w:t>住房保障支出（类）住房改革支出（款）  住房公积金（项）:202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42.16</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行政职业人员购买住房公积金</w:t>
      </w:r>
      <w:r>
        <w:rPr>
          <w:rFonts w:hint="eastAsia" w:ascii="Times New Roman" w:hAnsi="Times New Roman" w:eastAsia="仿宋_GB2312" w:cs="Times New Roman"/>
          <w:sz w:val="32"/>
          <w:szCs w:val="32"/>
          <w:highlight w:val="none"/>
        </w:rPr>
        <w:t>。</w:t>
      </w:r>
    </w:p>
    <w:p>
      <w:pPr>
        <w:pStyle w:val="2"/>
        <w:rPr>
          <w:rFonts w:hint="eastAsia"/>
          <w:lang w:eastAsia="zh-CN"/>
        </w:rPr>
      </w:pPr>
    </w:p>
    <w:p>
      <w:pPr>
        <w:numPr>
          <w:ilvl w:val="0"/>
          <w:numId w:val="0"/>
        </w:numPr>
        <w:suppressAutoHyphens/>
        <w:bidi w:val="0"/>
        <w:spacing w:line="580" w:lineRule="exact"/>
        <w:ind w:firstLine="640" w:firstLineChars="200"/>
        <w:outlineLvl w:val="0"/>
        <w:rPr>
          <w:rFonts w:hint="eastAsia" w:ascii="Times New Roman" w:hAnsi="Times New Roman" w:eastAsia="黑体" w:cs="Times New Roman"/>
          <w:sz w:val="32"/>
          <w:szCs w:val="32"/>
          <w:highlight w:val="none"/>
          <w:lang w:eastAsia="zh-CN"/>
        </w:rPr>
      </w:pPr>
      <w:bookmarkStart w:id="13" w:name="_Toc22211"/>
      <w:r>
        <w:rPr>
          <w:rFonts w:hint="eastAsia" w:ascii="Times New Roman" w:hAnsi="Times New Roman" w:eastAsia="黑体" w:cs="Times New Roman"/>
          <w:sz w:val="32"/>
          <w:szCs w:val="32"/>
          <w:highlight w:val="none"/>
          <w:lang w:eastAsia="zh-CN"/>
        </w:rPr>
        <w:t>六、</w:t>
      </w:r>
      <w:r>
        <w:rPr>
          <w:rFonts w:hint="eastAsia" w:ascii="Times New Roman" w:hAnsi="Times New Roman" w:eastAsia="黑体" w:cs="Times New Roman"/>
          <w:sz w:val="32"/>
          <w:szCs w:val="32"/>
          <w:highlight w:val="none"/>
        </w:rPr>
        <w:t>一般公共预算基本支出</w:t>
      </w:r>
      <w:r>
        <w:rPr>
          <w:rFonts w:hint="eastAsia" w:ascii="Times New Roman" w:hAnsi="Times New Roman" w:eastAsia="黑体" w:cs="Times New Roman"/>
          <w:sz w:val="32"/>
          <w:szCs w:val="32"/>
          <w:highlight w:val="none"/>
          <w:lang w:eastAsia="zh-CN"/>
        </w:rPr>
        <w:t>情况说明</w:t>
      </w:r>
      <w:bookmarkEnd w:id="13"/>
    </w:p>
    <w:p>
      <w:pPr>
        <w:numPr>
          <w:ilvl w:val="0"/>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综合执法局202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899.28</w:t>
      </w:r>
      <w:r>
        <w:rPr>
          <w:rFonts w:hint="eastAsia"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815.6</w:t>
      </w:r>
      <w:r>
        <w:rPr>
          <w:rFonts w:hint="eastAsia" w:ascii="Times New Roman" w:hAnsi="Times New Roman" w:eastAsia="仿宋_GB2312" w:cs="Times New Roman"/>
          <w:sz w:val="32"/>
          <w:szCs w:val="32"/>
          <w:highlight w:val="none"/>
        </w:rPr>
        <w:t>万元，主要包括：基本工资、津贴补贴、奖金、</w:t>
      </w:r>
      <w:r>
        <w:rPr>
          <w:rFonts w:hint="eastAsia" w:ascii="Times New Roman" w:hAnsi="Times New Roman" w:eastAsia="仿宋_GB2312" w:cs="Times New Roman"/>
          <w:sz w:val="32"/>
          <w:szCs w:val="32"/>
          <w:highlight w:val="none"/>
          <w:lang w:eastAsia="zh-CN"/>
        </w:rPr>
        <w:t>绩效工资、机关事业单位基本养老保险缴费、  职工基本医疗保险缴费、  公务员医疗补助缴费、其他</w:t>
      </w:r>
      <w:r>
        <w:rPr>
          <w:rFonts w:hint="eastAsia" w:ascii="Times New Roman" w:hAnsi="Times New Roman" w:eastAsia="仿宋_GB2312" w:cs="Times New Roman"/>
          <w:sz w:val="32"/>
          <w:szCs w:val="32"/>
          <w:highlight w:val="none"/>
        </w:rPr>
        <w:t>社会保险缴费</w:t>
      </w:r>
      <w:r>
        <w:rPr>
          <w:rFonts w:hint="eastAsia" w:ascii="Times New Roman" w:hAnsi="Times New Roman" w:eastAsia="仿宋_GB2312" w:cs="Times New Roman"/>
          <w:sz w:val="32"/>
          <w:szCs w:val="32"/>
          <w:highlight w:val="none"/>
          <w:lang w:eastAsia="zh-CN"/>
        </w:rPr>
        <w:t>、  住房公积金、  其他工资福利支出、对个人和家庭的补助。</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eastAsia"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83.68</w:t>
      </w:r>
      <w:r>
        <w:rPr>
          <w:rFonts w:hint="eastAsia" w:ascii="Times New Roman" w:hAnsi="Times New Roman" w:eastAsia="仿宋_GB2312" w:cs="Times New Roman"/>
          <w:sz w:val="32"/>
          <w:szCs w:val="32"/>
          <w:highlight w:val="none"/>
        </w:rPr>
        <w:t>万元，主要包括：办公费、电费、差旅费、会议费、培训费、公务接待费、工会经费、福利费</w:t>
      </w:r>
      <w:r>
        <w:rPr>
          <w:rFonts w:hint="eastAsia" w:ascii="Times New Roman" w:hAnsi="Times New Roman" w:eastAsia="仿宋_GB2312" w:cs="Times New Roman"/>
          <w:sz w:val="32"/>
          <w:szCs w:val="32"/>
          <w:highlight w:val="none"/>
          <w:lang w:eastAsia="zh-CN"/>
        </w:rPr>
        <w:t>、其他交通费用。</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14" w:name="_Toc27380"/>
      <w:r>
        <w:rPr>
          <w:rFonts w:hint="eastAsia" w:ascii="Times New Roman" w:hAnsi="Times New Roman" w:eastAsia="黑体" w:cs="Times New Roman"/>
          <w:sz w:val="32"/>
          <w:szCs w:val="32"/>
          <w:highlight w:val="none"/>
          <w:lang w:eastAsia="zh-CN"/>
        </w:rPr>
        <w:t>七、</w:t>
      </w:r>
      <w:r>
        <w:rPr>
          <w:rFonts w:hint="eastAsia" w:ascii="Times New Roman" w:hAnsi="Times New Roman" w:eastAsia="黑体" w:cs="Times New Roman"/>
          <w:sz w:val="32"/>
          <w:szCs w:val="32"/>
          <w:highlight w:val="none"/>
        </w:rPr>
        <w:t>“三公”经费财政拨款预算安排情况说明</w:t>
      </w:r>
      <w:bookmarkEnd w:id="14"/>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综合执法局202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1.36</w:t>
      </w:r>
      <w:r>
        <w:rPr>
          <w:rFonts w:hint="eastAsia"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1.36</w:t>
      </w:r>
      <w:r>
        <w:rPr>
          <w:rFonts w:hint="eastAsia"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outlineLvl w:val="1"/>
        <w:rPr>
          <w:rFonts w:hint="eastAsia" w:ascii="Times New Roman" w:hAnsi="Times New Roman" w:eastAsia="仿宋_GB2312" w:cs="Times New Roman"/>
          <w:sz w:val="32"/>
          <w:szCs w:val="32"/>
          <w:highlight w:val="none"/>
          <w:u w:val="single"/>
        </w:rPr>
      </w:pPr>
      <w:bookmarkStart w:id="15" w:name="_Toc20799"/>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eastAsia" w:ascii="Times New Roman" w:hAnsi="Times New Roman" w:eastAsia="楷体_GB2312" w:cs="Times New Roman"/>
          <w:b/>
          <w:sz w:val="32"/>
          <w:szCs w:val="32"/>
          <w:highlight w:val="none"/>
        </w:rPr>
        <w:t>）因公出国（境）经费</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2</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w:t>
      </w:r>
      <w:r>
        <w:rPr>
          <w:rFonts w:hint="eastAsia" w:ascii="Times New Roman" w:hAnsi="Times New Roman" w:eastAsia="楷体_GB2312" w:cs="Times New Roman"/>
          <w:b/>
          <w:sz w:val="32"/>
          <w:szCs w:val="32"/>
          <w:highlight w:val="none"/>
          <w:u w:val="none"/>
          <w:lang w:eastAsia="zh-CN"/>
        </w:rPr>
        <w:t>均为</w:t>
      </w:r>
      <w:r>
        <w:rPr>
          <w:rFonts w:hint="eastAsia" w:ascii="Times New Roman" w:hAnsi="Times New Roman" w:eastAsia="楷体_GB2312" w:cs="Times New Roman"/>
          <w:b/>
          <w:sz w:val="32"/>
          <w:szCs w:val="32"/>
          <w:highlight w:val="none"/>
          <w:u w:val="none"/>
          <w:lang w:val="en-US" w:eastAsia="zh-CN"/>
        </w:rPr>
        <w:t>0</w:t>
      </w:r>
      <w:r>
        <w:rPr>
          <w:rFonts w:hint="eastAsia" w:ascii="Times New Roman" w:hAnsi="Times New Roman" w:eastAsia="仿宋_GB2312" w:cs="Times New Roman"/>
          <w:sz w:val="32"/>
          <w:szCs w:val="32"/>
          <w:highlight w:val="none"/>
        </w:rPr>
        <w:t>。</w:t>
      </w:r>
      <w:bookmarkEnd w:id="15"/>
    </w:p>
    <w:p>
      <w:pPr>
        <w:suppressAutoHyphens/>
        <w:bidi w:val="0"/>
        <w:spacing w:line="580" w:lineRule="exact"/>
        <w:ind w:firstLine="640"/>
        <w:rPr>
          <w:rFonts w:hint="eastAsia" w:ascii="Times New Roman" w:hAnsi="Times New Roman" w:eastAsia="黑体" w:cs="Times New Roman"/>
          <w:b/>
          <w:sz w:val="32"/>
          <w:szCs w:val="32"/>
          <w:highlight w:val="none"/>
        </w:rPr>
      </w:pPr>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eastAsia"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2</w:t>
      </w:r>
      <w:r>
        <w:rPr>
          <w:rFonts w:hint="eastAsia" w:ascii="Times New Roman" w:hAnsi="Times New Roman" w:eastAsia="楷体_GB2312" w:cs="Times New Roman"/>
          <w:b/>
          <w:sz w:val="32"/>
          <w:szCs w:val="32"/>
          <w:highlight w:val="none"/>
          <w:lang w:eastAsia="zh-CN"/>
        </w:rPr>
        <w:t>年</w:t>
      </w:r>
      <w:r>
        <w:rPr>
          <w:rFonts w:hint="eastAsia"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lang w:val="en-US" w:eastAsia="zh-CN"/>
        </w:rPr>
        <w:t>20</w:t>
      </w:r>
      <w:r>
        <w:rPr>
          <w:rFonts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rPr>
        <w:t>。</w:t>
      </w:r>
      <w:r>
        <w:rPr>
          <w:rFonts w:hint="eastAsia"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2023年机关厉行节约</w:t>
      </w:r>
      <w:r>
        <w:rPr>
          <w:rFonts w:hint="eastAsia" w:ascii="Times New Roman" w:hAnsi="Times New Roman" w:eastAsia="仿宋_GB2312" w:cs="Times New Roman"/>
          <w:sz w:val="32"/>
          <w:szCs w:val="32"/>
          <w:highlight w:val="none"/>
        </w:rPr>
        <w:t>。</w:t>
      </w:r>
    </w:p>
    <w:p>
      <w:pPr>
        <w:suppressAutoHyphens/>
        <w:bidi w:val="0"/>
        <w:spacing w:line="580"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公务接待费计划用于</w:t>
      </w:r>
      <w:r>
        <w:rPr>
          <w:rFonts w:hint="eastAsia" w:ascii="Times New Roman" w:hAnsi="Times New Roman" w:eastAsia="仿宋_GB2312" w:cs="Times New Roman"/>
          <w:sz w:val="32"/>
          <w:szCs w:val="32"/>
          <w:highlight w:val="none"/>
          <w:lang w:eastAsia="zh-CN"/>
        </w:rPr>
        <w:t>其他单位来前考察接待</w:t>
      </w:r>
      <w:r>
        <w:rPr>
          <w:rFonts w:hint="eastAsia" w:ascii="Times New Roman" w:hAnsi="Times New Roman" w:eastAsia="仿宋_GB2312" w:cs="Times New Roman"/>
          <w:sz w:val="32"/>
          <w:szCs w:val="32"/>
          <w:highlight w:val="none"/>
        </w:rPr>
        <w:t>。</w:t>
      </w:r>
    </w:p>
    <w:p>
      <w:pPr>
        <w:suppressAutoHyphens/>
        <w:bidi w:val="0"/>
        <w:spacing w:line="580" w:lineRule="exact"/>
        <w:ind w:firstLine="640"/>
        <w:outlineLvl w:val="1"/>
        <w:rPr>
          <w:rFonts w:hint="eastAsia" w:ascii="Times New Roman" w:hAnsi="Times New Roman" w:eastAsia="黑体" w:cs="Times New Roman"/>
          <w:b/>
          <w:sz w:val="32"/>
          <w:szCs w:val="32"/>
          <w:highlight w:val="none"/>
        </w:rPr>
      </w:pPr>
      <w:bookmarkStart w:id="16" w:name="_Toc23736"/>
      <w:r>
        <w:rPr>
          <w:rFonts w:hint="eastAsia"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eastAsia" w:ascii="Times New Roman" w:hAnsi="Times New Roman" w:eastAsia="楷体_GB2312" w:cs="Times New Roman"/>
          <w:b/>
          <w:sz w:val="32"/>
          <w:szCs w:val="32"/>
          <w:highlight w:val="none"/>
        </w:rPr>
        <w:t>）公务用车购置及运行维护费</w:t>
      </w:r>
      <w:r>
        <w:rPr>
          <w:rFonts w:hint="eastAsia" w:ascii="Times New Roman" w:hAnsi="Times New Roman" w:eastAsia="楷体_GB2312" w:cs="Times New Roman"/>
          <w:b/>
          <w:sz w:val="32"/>
          <w:szCs w:val="32"/>
          <w:highlight w:val="none"/>
          <w:u w:val="none"/>
        </w:rPr>
        <w:t>与</w:t>
      </w:r>
      <w:r>
        <w:rPr>
          <w:rFonts w:hint="eastAsia" w:ascii="Times New Roman" w:hAnsi="Times New Roman" w:eastAsia="楷体_GB2312" w:cs="Times New Roman"/>
          <w:b/>
          <w:sz w:val="32"/>
          <w:szCs w:val="32"/>
          <w:highlight w:val="none"/>
          <w:u w:val="none"/>
          <w:lang w:eastAsia="zh-CN"/>
        </w:rPr>
        <w:t>202</w:t>
      </w:r>
      <w:r>
        <w:rPr>
          <w:rFonts w:hint="eastAsia" w:ascii="Times New Roman" w:hAnsi="Times New Roman" w:eastAsia="楷体_GB2312" w:cs="Times New Roman"/>
          <w:b/>
          <w:sz w:val="32"/>
          <w:szCs w:val="32"/>
          <w:highlight w:val="none"/>
          <w:u w:val="none"/>
          <w:lang w:val="en-US" w:eastAsia="zh-CN"/>
        </w:rPr>
        <w:t>2</w:t>
      </w:r>
      <w:r>
        <w:rPr>
          <w:rFonts w:hint="eastAsia" w:ascii="Times New Roman" w:hAnsi="Times New Roman" w:eastAsia="楷体_GB2312" w:cs="Times New Roman"/>
          <w:b/>
          <w:sz w:val="32"/>
          <w:szCs w:val="32"/>
          <w:highlight w:val="none"/>
          <w:u w:val="none"/>
          <w:lang w:eastAsia="zh-CN"/>
        </w:rPr>
        <w:t>年</w:t>
      </w:r>
      <w:r>
        <w:rPr>
          <w:rFonts w:hint="eastAsia" w:ascii="Times New Roman" w:hAnsi="Times New Roman" w:eastAsia="楷体_GB2312" w:cs="Times New Roman"/>
          <w:b/>
          <w:sz w:val="32"/>
          <w:szCs w:val="32"/>
          <w:highlight w:val="none"/>
          <w:u w:val="none"/>
        </w:rPr>
        <w:t>预算</w:t>
      </w:r>
      <w:r>
        <w:rPr>
          <w:rFonts w:hint="eastAsia" w:ascii="Times New Roman" w:hAnsi="Times New Roman" w:eastAsia="楷体_GB2312" w:cs="Times New Roman"/>
          <w:b/>
          <w:sz w:val="32"/>
          <w:szCs w:val="32"/>
          <w:highlight w:val="none"/>
          <w:u w:val="none"/>
          <w:lang w:eastAsia="zh-CN"/>
        </w:rPr>
        <w:t>均为</w:t>
      </w:r>
      <w:r>
        <w:rPr>
          <w:rFonts w:hint="eastAsia" w:ascii="Times New Roman" w:hAnsi="Times New Roman" w:eastAsia="楷体_GB2312" w:cs="Times New Roman"/>
          <w:b/>
          <w:sz w:val="32"/>
          <w:szCs w:val="32"/>
          <w:highlight w:val="none"/>
          <w:u w:val="none"/>
          <w:lang w:val="en-US" w:eastAsia="zh-CN"/>
        </w:rPr>
        <w:t>0</w:t>
      </w:r>
      <w:r>
        <w:rPr>
          <w:rFonts w:hint="eastAsia" w:ascii="Times New Roman" w:hAnsi="Times New Roman" w:eastAsia="仿宋_GB2312" w:cs="Times New Roman"/>
          <w:sz w:val="32"/>
          <w:szCs w:val="32"/>
          <w:highlight w:val="none"/>
        </w:rPr>
        <w:t>。</w:t>
      </w:r>
      <w:bookmarkEnd w:id="16"/>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单位现有公务用车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拟</w:t>
      </w:r>
      <w:r>
        <w:rPr>
          <w:rFonts w:hint="eastAsia"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万元，用于</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辆公务用车。</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17" w:name="_Toc19059"/>
      <w:r>
        <w:rPr>
          <w:rFonts w:hint="eastAsia" w:ascii="Times New Roman" w:hAnsi="Times New Roman" w:eastAsia="黑体" w:cs="Times New Roman"/>
          <w:sz w:val="32"/>
          <w:szCs w:val="32"/>
          <w:highlight w:val="none"/>
          <w:lang w:eastAsia="zh-CN"/>
        </w:rPr>
        <w:t>八、</w:t>
      </w:r>
      <w:r>
        <w:rPr>
          <w:rFonts w:hint="eastAsia" w:ascii="Times New Roman" w:hAnsi="Times New Roman" w:eastAsia="黑体" w:cs="Times New Roman"/>
          <w:sz w:val="32"/>
          <w:szCs w:val="32"/>
          <w:highlight w:val="none"/>
        </w:rPr>
        <w:t>政府性基金预算支出</w:t>
      </w:r>
      <w:r>
        <w:rPr>
          <w:rFonts w:hint="eastAsia" w:ascii="Times New Roman" w:hAnsi="Times New Roman" w:eastAsia="黑体" w:cs="Times New Roman"/>
          <w:sz w:val="32"/>
          <w:szCs w:val="32"/>
          <w:highlight w:val="none"/>
          <w:lang w:eastAsia="zh-CN"/>
        </w:rPr>
        <w:t>情况说明</w:t>
      </w:r>
      <w:bookmarkEnd w:id="17"/>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综合执法局202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lang w:eastAsia="zh-CN"/>
        </w:rPr>
      </w:pPr>
      <w:bookmarkStart w:id="18" w:name="_Toc12099"/>
      <w:r>
        <w:rPr>
          <w:rFonts w:hint="eastAsia" w:ascii="Times New Roman" w:hAnsi="Times New Roman" w:eastAsia="黑体" w:cs="Times New Roman"/>
          <w:sz w:val="32"/>
          <w:szCs w:val="32"/>
          <w:highlight w:val="none"/>
          <w:lang w:eastAsia="zh-CN"/>
        </w:rPr>
        <w:t>九</w:t>
      </w:r>
      <w:r>
        <w:rPr>
          <w:rFonts w:hint="eastAsia" w:ascii="Times New Roman" w:hAnsi="Times New Roman" w:eastAsia="黑体" w:cs="Times New Roman"/>
          <w:sz w:val="32"/>
          <w:szCs w:val="32"/>
          <w:highlight w:val="none"/>
        </w:rPr>
        <w:t>、国有资本经营预算</w:t>
      </w:r>
      <w:r>
        <w:rPr>
          <w:rFonts w:hint="eastAsia" w:ascii="Times New Roman" w:hAnsi="Times New Roman" w:eastAsia="黑体" w:cs="Times New Roman"/>
          <w:sz w:val="32"/>
          <w:szCs w:val="32"/>
          <w:highlight w:val="none"/>
          <w:lang w:eastAsia="zh-CN"/>
        </w:rPr>
        <w:t>情况说明</w:t>
      </w:r>
      <w:bookmarkEnd w:id="18"/>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综合执法局202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0"/>
        <w:rPr>
          <w:rFonts w:hint="eastAsia" w:ascii="Times New Roman" w:hAnsi="Times New Roman" w:eastAsia="黑体" w:cs="Times New Roman"/>
          <w:sz w:val="32"/>
          <w:szCs w:val="32"/>
          <w:highlight w:val="none"/>
        </w:rPr>
      </w:pPr>
      <w:bookmarkStart w:id="19" w:name="_Toc7036"/>
      <w:r>
        <w:rPr>
          <w:rFonts w:hint="eastAsia" w:ascii="Times New Roman" w:hAnsi="Times New Roman" w:eastAsia="黑体" w:cs="Times New Roman"/>
          <w:sz w:val="32"/>
          <w:szCs w:val="32"/>
          <w:highlight w:val="none"/>
          <w:lang w:eastAsia="zh-CN"/>
        </w:rPr>
        <w:t>十、</w:t>
      </w:r>
      <w:r>
        <w:rPr>
          <w:rFonts w:hint="eastAsia" w:ascii="Times New Roman" w:hAnsi="Times New Roman" w:eastAsia="黑体" w:cs="Times New Roman"/>
          <w:sz w:val="32"/>
          <w:szCs w:val="32"/>
          <w:highlight w:val="none"/>
        </w:rPr>
        <w:t>其他重要事项的情况说明</w:t>
      </w:r>
      <w:bookmarkEnd w:id="19"/>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lang w:eastAsia="zh-CN"/>
        </w:rPr>
      </w:pPr>
      <w:bookmarkStart w:id="20" w:name="_Toc22718"/>
      <w:r>
        <w:rPr>
          <w:rFonts w:hint="eastAsia" w:ascii="Times New Roman" w:hAnsi="Times New Roman" w:eastAsia="楷体_GB2312" w:cs="Times New Roman"/>
          <w:b/>
          <w:sz w:val="32"/>
          <w:szCs w:val="32"/>
          <w:highlight w:val="none"/>
        </w:rPr>
        <w:t>（一）机关运行经费</w:t>
      </w:r>
      <w:r>
        <w:rPr>
          <w:rFonts w:hint="eastAsia" w:ascii="Times New Roman" w:hAnsi="Times New Roman" w:eastAsia="楷体_GB2312" w:cs="Times New Roman"/>
          <w:b/>
          <w:sz w:val="32"/>
          <w:szCs w:val="32"/>
          <w:highlight w:val="none"/>
          <w:lang w:eastAsia="zh-CN"/>
        </w:rPr>
        <w:t>情况</w:t>
      </w:r>
      <w:bookmarkEnd w:id="20"/>
    </w:p>
    <w:p>
      <w:pPr>
        <w:suppressAutoHyphens/>
        <w:bidi w:val="0"/>
        <w:spacing w:line="580" w:lineRule="exact"/>
        <w:ind w:firstLine="640" w:firstLineChars="200"/>
        <w:outlineLvl w:val="2"/>
        <w:rPr>
          <w:rFonts w:hint="eastAsia"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本部门下属环卫所1家单位为事业单位，按规定未使用机关运行的相关科目。</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bookmarkStart w:id="21" w:name="_Toc25955"/>
      <w:r>
        <w:rPr>
          <w:rFonts w:hint="eastAsia" w:ascii="Times New Roman" w:hAnsi="Times New Roman" w:eastAsia="楷体_GB2312" w:cs="Times New Roman"/>
          <w:b/>
          <w:sz w:val="32"/>
          <w:szCs w:val="32"/>
          <w:highlight w:val="none"/>
        </w:rPr>
        <w:t>（二）政府采购情况</w:t>
      </w:r>
      <w:bookmarkEnd w:id="21"/>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综合执法局</w:t>
      </w:r>
      <w:r>
        <w:rPr>
          <w:rFonts w:hint="eastAsia" w:ascii="Times New Roman" w:hAnsi="Times New Roman" w:eastAsia="仿宋_GB2312" w:cs="Times New Roman"/>
          <w:sz w:val="32"/>
          <w:szCs w:val="32"/>
          <w:highlight w:val="none"/>
        </w:rPr>
        <w:t>安排政府采购预算</w:t>
      </w:r>
      <w:r>
        <w:rPr>
          <w:rFonts w:hint="eastAsia" w:ascii="Times New Roman" w:hAnsi="Times New Roman" w:eastAsia="仿宋_GB2312" w:cs="Times New Roman"/>
          <w:sz w:val="32"/>
          <w:szCs w:val="32"/>
          <w:highlight w:val="none"/>
          <w:lang w:val="en-US" w:eastAsia="zh-CN"/>
        </w:rPr>
        <w:t>29.14</w:t>
      </w:r>
      <w:r>
        <w:rPr>
          <w:rFonts w:hint="eastAsia"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其中，政府采购货物</w:t>
      </w:r>
      <w:r>
        <w:rPr>
          <w:rFonts w:hint="eastAsia" w:ascii="Times New Roman" w:hAnsi="Times New Roman" w:eastAsia="仿宋_GB2312" w:cs="Times New Roman"/>
          <w:sz w:val="32"/>
          <w:szCs w:val="32"/>
          <w:highlight w:val="none"/>
        </w:rPr>
        <w:t>预算</w:t>
      </w:r>
      <w:r>
        <w:rPr>
          <w:rFonts w:hint="eastAsia" w:ascii="Times New Roman" w:hAnsi="Times New Roman" w:eastAsia="仿宋_GB2312" w:cs="Times New Roman"/>
          <w:sz w:val="32"/>
          <w:szCs w:val="32"/>
          <w:highlight w:val="none"/>
          <w:lang w:val="en-US" w:eastAsia="zh-CN"/>
        </w:rPr>
        <w:t>29.14</w:t>
      </w:r>
      <w:r>
        <w:rPr>
          <w:rFonts w:hint="eastAsia" w:ascii="Times New Roman" w:hAnsi="Times New Roman" w:eastAsia="仿宋_GB2312" w:cs="Times New Roman"/>
          <w:sz w:val="32"/>
          <w:szCs w:val="32"/>
          <w:highlight w:val="none"/>
        </w:rPr>
        <w:t>万元。</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rPr>
      </w:pPr>
      <w:bookmarkStart w:id="22" w:name="_Toc21415"/>
      <w:r>
        <w:rPr>
          <w:rFonts w:hint="eastAsia" w:ascii="Times New Roman" w:hAnsi="Times New Roman" w:eastAsia="楷体_GB2312" w:cs="Times New Roman"/>
          <w:b/>
          <w:sz w:val="32"/>
          <w:szCs w:val="32"/>
          <w:highlight w:val="none"/>
        </w:rPr>
        <w:t>（三）国有资产占有使用情况</w:t>
      </w:r>
      <w:bookmarkEnd w:id="22"/>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eastAsia="zh-CN"/>
        </w:rPr>
        <w:t>年</w:t>
      </w:r>
      <w:r>
        <w:rPr>
          <w:rFonts w:hint="eastAsia" w:ascii="Times New Roman" w:hAnsi="Times New Roman" w:eastAsia="仿宋_GB2312" w:cs="Times New Roman"/>
          <w:sz w:val="32"/>
          <w:szCs w:val="32"/>
          <w:highlight w:val="none"/>
        </w:rPr>
        <w:t>部门预算未安排购置车辆及单位价值200万元以上大型设备</w:t>
      </w:r>
      <w:r>
        <w:rPr>
          <w:rFonts w:hint="eastAsia" w:ascii="Times New Roman" w:hAnsi="Times New Roman" w:eastAsia="仿宋_GB2312" w:cs="Times New Roman"/>
          <w:sz w:val="32"/>
          <w:szCs w:val="32"/>
          <w:highlight w:val="none"/>
          <w:lang w:eastAsia="zh-CN"/>
        </w:rPr>
        <w:t>。综合执法局</w:t>
      </w:r>
      <w:r>
        <w:rPr>
          <w:rFonts w:hint="eastAsia"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年国有资本经营预算支出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万元，项目支出</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highlight w:val="none"/>
        </w:rPr>
        <w:t>万元，202</w:t>
      </w: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年预算均为0万元，主要原因是</w:t>
      </w:r>
      <w:r>
        <w:rPr>
          <w:rFonts w:hint="eastAsia" w:ascii="Times New Roman" w:hAnsi="Times New Roman" w:eastAsia="仿宋_GB2312" w:cs="Times New Roman"/>
          <w:sz w:val="32"/>
          <w:szCs w:val="32"/>
          <w:highlight w:val="none"/>
          <w:lang w:val="en-US" w:eastAsia="zh-CN"/>
        </w:rPr>
        <w:t>2023年和2022年均</w:t>
      </w:r>
      <w:r>
        <w:rPr>
          <w:rFonts w:hint="eastAsia" w:ascii="Times New Roman" w:hAnsi="Times New Roman" w:eastAsia="仿宋_GB2312" w:cs="Times New Roman"/>
          <w:sz w:val="32"/>
          <w:szCs w:val="32"/>
          <w:highlight w:val="none"/>
        </w:rPr>
        <w:t>未安排购置车辆及单位价值200万元以上大型设备</w:t>
      </w:r>
    </w:p>
    <w:p>
      <w:pPr>
        <w:suppressAutoHyphens/>
        <w:bidi w:val="0"/>
        <w:spacing w:line="580" w:lineRule="exact"/>
        <w:ind w:firstLine="643" w:firstLineChars="200"/>
        <w:outlineLvl w:val="1"/>
        <w:rPr>
          <w:rFonts w:hint="eastAsia" w:ascii="Times New Roman" w:hAnsi="Times New Roman" w:eastAsia="楷体_GB2312" w:cs="Times New Roman"/>
          <w:b/>
          <w:sz w:val="32"/>
          <w:szCs w:val="32"/>
          <w:highlight w:val="none"/>
          <w:lang w:eastAsia="zh-CN"/>
        </w:rPr>
      </w:pPr>
      <w:bookmarkStart w:id="23" w:name="_Toc26611"/>
      <w:r>
        <w:rPr>
          <w:rFonts w:hint="eastAsia" w:ascii="Times New Roman" w:hAnsi="Times New Roman" w:eastAsia="楷体_GB2312" w:cs="Times New Roman"/>
          <w:b/>
          <w:sz w:val="32"/>
          <w:szCs w:val="32"/>
          <w:highlight w:val="none"/>
        </w:rPr>
        <w:t>（四）</w:t>
      </w:r>
      <w:r>
        <w:rPr>
          <w:rFonts w:hint="eastAsia" w:ascii="Times New Roman" w:hAnsi="Times New Roman" w:eastAsia="楷体_GB2312" w:cs="Times New Roman"/>
          <w:b/>
          <w:sz w:val="32"/>
          <w:szCs w:val="32"/>
          <w:highlight w:val="none"/>
          <w:lang w:eastAsia="zh-CN"/>
        </w:rPr>
        <w:t>预算绩效情况</w:t>
      </w:r>
      <w:bookmarkEnd w:id="2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r>
        <w:rPr>
          <w:rFonts w:hint="eastAsia" w:ascii="Times New Roman" w:hAnsi="Times New Roman" w:eastAsia="仿宋_GB2312" w:cs="仿宋_GB2312"/>
          <w:sz w:val="32"/>
          <w:szCs w:val="32"/>
          <w:highlight w:val="none"/>
          <w:lang w:val="en-US" w:eastAsia="zh-CN"/>
        </w:rPr>
        <w:t>2023年</w:t>
      </w:r>
      <w:r>
        <w:rPr>
          <w:rFonts w:hint="eastAsia" w:ascii="Times New Roman" w:hAnsi="Times New Roman" w:eastAsia="仿宋_GB2312" w:cs="Times New Roman"/>
          <w:sz w:val="32"/>
          <w:szCs w:val="32"/>
          <w:highlight w:val="none"/>
          <w:lang w:eastAsia="zh-CN"/>
        </w:rPr>
        <w:t>综合执法局</w:t>
      </w:r>
      <w:r>
        <w:rPr>
          <w:rFonts w:hint="eastAsia" w:ascii="Times New Roman" w:hAnsi="Times New Roman" w:eastAsia="仿宋_GB2312" w:cs="仿宋_GB2312"/>
          <w:sz w:val="32"/>
          <w:szCs w:val="32"/>
          <w:highlight w:val="none"/>
          <w:lang w:val="en-US" w:eastAsia="zh-CN"/>
        </w:rPr>
        <w:t>开展绩效目标管理的项目0</w:t>
      </w:r>
      <w:r>
        <w:rPr>
          <w:rFonts w:hint="eastAsia" w:ascii="Times New Roman" w:hAnsi="Times New Roman" w:eastAsia="仿宋_GB2312" w:cs="仿宋_GB2312"/>
          <w:sz w:val="32"/>
          <w:szCs w:val="32"/>
          <w:highlight w:val="none"/>
          <w:lang w:eastAsia="zh-CN"/>
        </w:rPr>
        <w:t>个，涉及预算</w:t>
      </w:r>
      <w:r>
        <w:rPr>
          <w:rFonts w:hint="eastAsia" w:ascii="Times New Roman" w:hAnsi="Times New Roman" w:eastAsia="仿宋_GB2312" w:cs="仿宋_GB2312"/>
          <w:sz w:val="32"/>
          <w:szCs w:val="32"/>
          <w:highlight w:val="none"/>
          <w:lang w:val="en-US" w:eastAsia="zh-CN"/>
        </w:rPr>
        <w:t>0</w:t>
      </w:r>
      <w:r>
        <w:rPr>
          <w:rFonts w:hint="eastAsia" w:ascii="Times New Roman" w:hAnsi="Times New Roman" w:eastAsia="仿宋_GB2312" w:cs="仿宋_GB2312"/>
          <w:sz w:val="32"/>
          <w:szCs w:val="32"/>
          <w:highlight w:val="none"/>
          <w:lang w:eastAsia="zh-CN"/>
        </w:rPr>
        <w:t>万元。</w:t>
      </w:r>
    </w:p>
    <w:p>
      <w:pPr>
        <w:spacing w:line="600" w:lineRule="exact"/>
        <w:ind w:firstLine="640" w:firstLineChars="200"/>
        <w:outlineLvl w:val="0"/>
        <w:rPr>
          <w:rFonts w:ascii="Times New Roman" w:hAnsi="Times New Roman" w:eastAsia="楷体"/>
          <w:b/>
          <w:color w:val="FF0000"/>
          <w:sz w:val="32"/>
          <w:szCs w:val="32"/>
          <w:highlight w:val="none"/>
        </w:rPr>
      </w:pPr>
      <w:bookmarkStart w:id="24" w:name="_Toc31419"/>
      <w:r>
        <w:rPr>
          <w:rFonts w:hint="eastAsia" w:ascii="Times New Roman" w:hAnsi="Times New Roman" w:eastAsia="黑体"/>
          <w:sz w:val="32"/>
          <w:szCs w:val="32"/>
          <w:highlight w:val="none"/>
        </w:rPr>
        <w:t>十</w:t>
      </w: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、名词解释</w:t>
      </w:r>
      <w:bookmarkEnd w:id="24"/>
    </w:p>
    <w:p>
      <w:pPr>
        <w:spacing w:line="600" w:lineRule="exact"/>
        <w:ind w:firstLine="640" w:firstLineChars="200"/>
        <w:outlineLvl w:val="1"/>
        <w:rPr>
          <w:rFonts w:ascii="Times New Roman" w:hAnsi="Times New Roman" w:eastAsia="仿宋_GB2312"/>
          <w:sz w:val="32"/>
          <w:szCs w:val="32"/>
          <w:highlight w:val="none"/>
        </w:rPr>
      </w:pPr>
      <w:bookmarkStart w:id="25" w:name="_Toc862"/>
      <w:bookmarkStart w:id="26" w:name="_Toc15129"/>
      <w:bookmarkStart w:id="27" w:name="_Toc3273"/>
      <w:r>
        <w:rPr>
          <w:rFonts w:hint="eastAsia" w:ascii="Times New Roman" w:hAnsi="Times New Roman" w:eastAsia="仿宋_GB2312"/>
          <w:sz w:val="32"/>
          <w:szCs w:val="32"/>
          <w:highlight w:val="none"/>
        </w:rPr>
        <w:t>1.</w:t>
      </w:r>
      <w:r>
        <w:rPr>
          <w:rFonts w:hint="eastAsia" w:ascii="Times New Roman" w:hAnsi="Times New Roman" w:eastAsia="仿宋_GB2312" w:cs="Times New Roman"/>
          <w:kern w:val="2"/>
          <w:sz w:val="32"/>
          <w:szCs w:val="32"/>
          <w:highlight w:val="none"/>
          <w:lang w:val="en-US" w:eastAsia="zh-CN" w:bidi="ar-SA"/>
        </w:rPr>
        <w:t>一般公共预算拨款收入：指本级财政当年拨付的资金</w:t>
      </w:r>
      <w:r>
        <w:rPr>
          <w:rFonts w:hint="eastAsia" w:ascii="Times New Roman" w:hAnsi="Times New Roman" w:eastAsia="仿宋_GB2312"/>
          <w:sz w:val="32"/>
          <w:szCs w:val="32"/>
          <w:highlight w:val="none"/>
        </w:rPr>
        <w:t>。</w:t>
      </w:r>
      <w:bookmarkEnd w:id="25"/>
      <w:bookmarkEnd w:id="26"/>
      <w:bookmarkEnd w:id="27"/>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sz w:val="32"/>
          <w:szCs w:val="32"/>
          <w:highlight w:val="none"/>
        </w:rPr>
        <w:t>2.年初结转和结余：指以前年度尚未完成、结转到本年按有关</w:t>
      </w:r>
      <w:r>
        <w:rPr>
          <w:rFonts w:hint="eastAsia" w:ascii="Times New Roman" w:hAnsi="Times New Roman" w:eastAsia="仿宋_GB2312" w:cs="Times New Roman"/>
          <w:sz w:val="32"/>
          <w:szCs w:val="32"/>
          <w:highlight w:val="none"/>
        </w:rPr>
        <w:t>规定继续使用的资金。</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3.城乡社区支出（类）城乡社区管理事务（款）行政运行（项）:指参照公务员法管理的事业单位的基本支出。</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4.城乡社区支出（类）城乡社区管理事务（款）城管执法（项）：指用于城市管理综合行政执法、加强城市市容和环境卫生管理等方面的支出。</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住房保障支出（类）住房改革支出（款）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近20年时间。</w:t>
      </w:r>
    </w:p>
    <w:p>
      <w:pP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.基本支出：指为保证机构正常运转，完成日常工作任务而发生的人员支出和公用支出。</w:t>
      </w:r>
    </w:p>
    <w:p>
      <w:pPr>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.项目支出：指在基本支出之外为完成特定行政任务和事业发展目标所发生的支出。</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.机关运行经费：为保障行政单位（包含参照公务员法管理的事业单位）运行用于购买货物和服务的各项资金。包括办公及印刷费、邮电费、差旅费、会议费一般设备购置费等费用开支。</w:t>
      </w:r>
    </w:p>
    <w:p>
      <w:pPr>
        <w:pStyle w:val="3"/>
        <w:rPr>
          <w:rFonts w:hint="eastAsia" w:ascii="Times New Roman" w:hAnsi="Times New Roman" w:eastAsia="仿宋_GB2312"/>
          <w:sz w:val="32"/>
          <w:szCs w:val="32"/>
          <w:highlight w:val="none"/>
        </w:rPr>
      </w:pPr>
      <w:bookmarkStart w:id="28" w:name="_GoBack"/>
      <w:bookmarkEnd w:id="28"/>
    </w:p>
    <w:p>
      <w:pPr>
        <w:pStyle w:val="3"/>
        <w:rPr>
          <w:rFonts w:hint="eastAsia" w:ascii="Times New Roman" w:hAnsi="Times New Roman" w:eastAsia="仿宋_GB2312"/>
          <w:sz w:val="32"/>
          <w:szCs w:val="32"/>
          <w:highlight w:val="none"/>
        </w:rPr>
      </w:pPr>
    </w:p>
    <w:p>
      <w:pPr>
        <w:pStyle w:val="2"/>
        <w:numPr>
          <w:ilvl w:val="0"/>
          <w:numId w:val="0"/>
        </w:numPr>
        <w:ind w:leftChars="200"/>
        <w:jc w:val="center"/>
        <w:rPr>
          <w:rFonts w:hint="eastAsia" w:ascii="方正仿宋_GBK" w:hAnsi="方正仿宋_GBK" w:eastAsia="方正仿宋_GBK" w:cs="方正仿宋_GBK"/>
          <w:color w:val="000000"/>
          <w:kern w:val="0"/>
          <w:sz w:val="33"/>
          <w:szCs w:val="33"/>
          <w:shd w:val="clear" w:color="auto" w:fill="FFFFFF"/>
          <w:lang w:val="en-US" w:eastAsia="zh-CN" w:bidi="ar-SA"/>
        </w:rPr>
      </w:pPr>
      <w:r>
        <w:rPr>
          <w:rFonts w:hint="eastAsia" w:ascii="方正仿宋_GBK" w:hAnsi="方正仿宋_GBK" w:eastAsia="方正仿宋_GBK" w:cs="方正仿宋_GBK"/>
          <w:color w:val="000000"/>
          <w:kern w:val="0"/>
          <w:sz w:val="33"/>
          <w:szCs w:val="33"/>
          <w:shd w:val="clear" w:color="auto" w:fill="FFFFFF"/>
          <w:lang w:val="en-US" w:eastAsia="zh-CN" w:bidi="ar-SA"/>
        </w:rPr>
        <w:t xml:space="preserve">                     </w:t>
      </w:r>
      <w:r>
        <w:rPr>
          <w:rFonts w:hint="eastAsia" w:ascii="方正仿宋_GBK" w:hAnsi="方正仿宋_GBK" w:eastAsia="方正仿宋_GBK" w:cs="方正仿宋_GBK"/>
          <w:color w:val="000000"/>
          <w:kern w:val="0"/>
          <w:sz w:val="33"/>
          <w:szCs w:val="33"/>
          <w:shd w:val="clear" w:color="auto" w:fill="FFFFFF"/>
          <w:lang w:val="zh-CN" w:eastAsia="zh-CN" w:bidi="ar-SA"/>
        </w:rPr>
        <w:t>广安市前锋区综合行政执法局</w:t>
      </w:r>
    </w:p>
    <w:p>
      <w:pPr>
        <w:pStyle w:val="2"/>
        <w:numPr>
          <w:ilvl w:val="0"/>
          <w:numId w:val="0"/>
        </w:numPr>
        <w:ind w:firstLine="4950" w:firstLineChars="1500"/>
        <w:jc w:val="both"/>
        <w:rPr>
          <w:rFonts w:hint="default" w:ascii="Times New Roman" w:hAnsi="Times New Roman" w:eastAsia="方正仿宋_GBK" w:cs="Times New Roman"/>
          <w:color w:val="000000"/>
          <w:kern w:val="0"/>
          <w:sz w:val="33"/>
          <w:szCs w:val="33"/>
          <w:shd w:val="clear" w:color="auto" w:fill="FFFFFF"/>
          <w:lang w:val="en-US" w:eastAsia="zh-CN" w:bidi="ar-SA"/>
        </w:rPr>
      </w:pPr>
      <w:r>
        <w:rPr>
          <w:rFonts w:hint="default" w:ascii="Times New Roman" w:hAnsi="Times New Roman" w:eastAsia="方正仿宋_GBK" w:cs="Times New Roman"/>
          <w:color w:val="000000"/>
          <w:kern w:val="0"/>
          <w:sz w:val="33"/>
          <w:szCs w:val="33"/>
          <w:shd w:val="clear" w:color="auto" w:fill="FFFFFF"/>
          <w:lang w:val="en-US" w:eastAsia="zh-CN" w:bidi="ar-SA"/>
        </w:rPr>
        <w:t>202</w:t>
      </w:r>
      <w:r>
        <w:rPr>
          <w:rFonts w:hint="eastAsia" w:ascii="Times New Roman" w:hAnsi="Times New Roman" w:eastAsia="方正仿宋_GBK" w:cs="Times New Roman"/>
          <w:color w:val="000000"/>
          <w:kern w:val="0"/>
          <w:sz w:val="33"/>
          <w:szCs w:val="33"/>
          <w:shd w:val="clear" w:color="auto" w:fill="FFFFFF"/>
          <w:lang w:val="en-US" w:eastAsia="zh-CN" w:bidi="ar-SA"/>
        </w:rPr>
        <w:t>3</w:t>
      </w:r>
      <w:r>
        <w:rPr>
          <w:rFonts w:hint="default" w:ascii="Times New Roman" w:hAnsi="Times New Roman" w:eastAsia="方正仿宋_GBK" w:cs="Times New Roman"/>
          <w:color w:val="000000"/>
          <w:kern w:val="0"/>
          <w:sz w:val="33"/>
          <w:szCs w:val="33"/>
          <w:shd w:val="clear" w:color="auto" w:fill="FFFFFF"/>
          <w:lang w:val="en-US" w:eastAsia="zh-CN" w:bidi="ar-SA"/>
        </w:rPr>
        <w:t>年</w:t>
      </w:r>
      <w:r>
        <w:rPr>
          <w:rFonts w:hint="eastAsia" w:ascii="Times New Roman" w:hAnsi="Times New Roman" w:eastAsia="方正仿宋_GBK" w:cs="Times New Roman"/>
          <w:color w:val="000000"/>
          <w:kern w:val="0"/>
          <w:sz w:val="33"/>
          <w:szCs w:val="33"/>
          <w:shd w:val="clear" w:color="auto" w:fill="FFFFFF"/>
          <w:lang w:val="en-US" w:eastAsia="zh-CN" w:bidi="ar-SA"/>
        </w:rPr>
        <w:t>4</w:t>
      </w:r>
      <w:r>
        <w:rPr>
          <w:rFonts w:hint="default" w:ascii="Times New Roman" w:hAnsi="Times New Roman" w:eastAsia="方正仿宋_GBK" w:cs="Times New Roman"/>
          <w:color w:val="000000"/>
          <w:kern w:val="0"/>
          <w:sz w:val="33"/>
          <w:szCs w:val="33"/>
          <w:shd w:val="clear" w:color="auto" w:fill="FFFFFF"/>
          <w:lang w:val="en-US" w:eastAsia="zh-CN" w:bidi="ar-SA"/>
        </w:rPr>
        <w:t>月</w:t>
      </w:r>
      <w:r>
        <w:rPr>
          <w:rFonts w:hint="eastAsia" w:ascii="Times New Roman" w:hAnsi="Times New Roman" w:eastAsia="方正仿宋_GBK" w:cs="Times New Roman"/>
          <w:color w:val="000000"/>
          <w:kern w:val="0"/>
          <w:sz w:val="33"/>
          <w:szCs w:val="33"/>
          <w:shd w:val="clear" w:color="auto" w:fill="FFFFFF"/>
          <w:lang w:val="en-US" w:eastAsia="zh-CN" w:bidi="ar-SA"/>
        </w:rPr>
        <w:t>6</w:t>
      </w:r>
      <w:r>
        <w:rPr>
          <w:rFonts w:hint="default" w:ascii="Times New Roman" w:hAnsi="Times New Roman" w:eastAsia="方正仿宋_GBK" w:cs="Times New Roman"/>
          <w:color w:val="000000"/>
          <w:kern w:val="0"/>
          <w:sz w:val="33"/>
          <w:szCs w:val="33"/>
          <w:shd w:val="clear" w:color="auto" w:fill="FFFFFF"/>
          <w:lang w:val="en-US" w:eastAsia="zh-CN" w:bidi="ar-SA"/>
        </w:rPr>
        <w:t>日</w:t>
      </w:r>
    </w:p>
    <w:p>
      <w:pPr>
        <w:rPr>
          <w:rFonts w:hint="default" w:ascii="Times New Roman" w:hAnsi="Times New Roman" w:eastAsia="方正仿宋_GBK" w:cs="Times New Roman"/>
          <w:color w:val="000000"/>
          <w:kern w:val="0"/>
          <w:sz w:val="33"/>
          <w:szCs w:val="33"/>
          <w:shd w:val="clear" w:color="auto" w:fill="FFFFFF"/>
          <w:lang w:val="en-US" w:eastAsia="zh-CN" w:bidi="ar-SA"/>
        </w:rPr>
      </w:pPr>
    </w:p>
    <w:p>
      <w:pPr>
        <w:pStyle w:val="3"/>
        <w:rPr>
          <w:rFonts w:hint="default" w:ascii="Times New Roman" w:hAnsi="Times New Roman" w:eastAsia="方正仿宋_GBK" w:cs="Times New Roman"/>
          <w:color w:val="000000"/>
          <w:kern w:val="0"/>
          <w:sz w:val="33"/>
          <w:szCs w:val="33"/>
          <w:shd w:val="clear" w:color="auto" w:fill="FFFFFF"/>
          <w:lang w:val="en-US" w:eastAsia="zh-CN" w:bidi="ar-SA"/>
        </w:rPr>
      </w:pPr>
    </w:p>
    <w:p>
      <w:pPr>
        <w:pStyle w:val="3"/>
        <w:rPr>
          <w:rFonts w:hint="default" w:ascii="Times New Roman" w:hAnsi="Times New Roman" w:eastAsia="方正仿宋_GBK" w:cs="Times New Roman"/>
          <w:color w:val="000000"/>
          <w:kern w:val="0"/>
          <w:sz w:val="33"/>
          <w:szCs w:val="33"/>
          <w:shd w:val="clear" w:color="auto" w:fill="FFFFFF"/>
          <w:lang w:val="en-US" w:eastAsia="zh-CN" w:bidi="ar-SA"/>
        </w:rPr>
      </w:pPr>
    </w:p>
    <w:p>
      <w:p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附件：表1 部门收支总表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表1-1 部门收入总表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表1-2 部门支出总表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 财政拨款收支总表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表2-1财政拨款支出预算表（</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经济分类科目）</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 一般公共预算支出预算表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表3-1 一般公共预算基本支出预算表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表3-2一般公共预算项目支出预算表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表3-3 一般公共预算“三公”经费支出</w:t>
      </w:r>
      <w:r>
        <w:rPr>
          <w:rFonts w:hint="eastAsia" w:ascii="Times New Roman" w:hAnsi="Times New Roman" w:eastAsia="仿宋_GB2312"/>
          <w:sz w:val="32"/>
          <w:szCs w:val="32"/>
          <w:highlight w:val="none"/>
          <w:lang w:eastAsia="zh-CN"/>
        </w:rPr>
        <w:t>预算</w:t>
      </w:r>
      <w:r>
        <w:rPr>
          <w:rFonts w:hint="eastAsia" w:ascii="Times New Roman" w:hAnsi="Times New Roman" w:eastAsia="仿宋_GB2312"/>
          <w:sz w:val="32"/>
          <w:szCs w:val="32"/>
          <w:highlight w:val="none"/>
        </w:rPr>
        <w:t>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 政府性基金支出预算表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表4-1 政府性基金预算“三公”经费支出预算表</w:t>
      </w:r>
    </w:p>
    <w:p>
      <w:pPr>
        <w:spacing w:line="600" w:lineRule="exact"/>
        <w:ind w:firstLine="960" w:firstLineChars="3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表5 国有资本经营预算支出预算表</w:t>
      </w:r>
    </w:p>
    <w:p>
      <w:pPr>
        <w:spacing w:line="600" w:lineRule="exact"/>
        <w:ind w:firstLine="960" w:firstLineChars="3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表6 部门预算项目</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绩效目标</w:t>
      </w:r>
      <w:r>
        <w:rPr>
          <w:rFonts w:hint="eastAsia" w:ascii="Times New Roman" w:hAnsi="Times New Roman" w:eastAsia="仿宋_GB2312"/>
          <w:sz w:val="32"/>
          <w:szCs w:val="32"/>
          <w:highlight w:val="none"/>
          <w:lang w:eastAsia="zh-CN"/>
        </w:rPr>
        <w:t>表</w:t>
      </w:r>
    </w:p>
    <w:p>
      <w:pPr>
        <w:spacing w:line="600" w:lineRule="exact"/>
        <w:ind w:firstLine="960" w:firstLineChars="3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表</w:t>
      </w:r>
      <w:r>
        <w:rPr>
          <w:rFonts w:hint="eastAsia" w:ascii="Times New Roman" w:hAnsi="Times New Roman" w:eastAsia="仿宋_GB2312"/>
          <w:sz w:val="32"/>
          <w:szCs w:val="32"/>
          <w:highlight w:val="none"/>
          <w:lang w:val="en-US" w:eastAsia="zh-CN"/>
        </w:rPr>
        <w:t>7 部门整体支出绩效目标表</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mMTZkY2NiY2FkNzcwZDQ3MTM1YzUxYjQyOTU4MTc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AF02D8"/>
    <w:rsid w:val="0AAC3952"/>
    <w:rsid w:val="0C646053"/>
    <w:rsid w:val="0D980066"/>
    <w:rsid w:val="14CD239D"/>
    <w:rsid w:val="19A050D5"/>
    <w:rsid w:val="1B773632"/>
    <w:rsid w:val="1DE9F11D"/>
    <w:rsid w:val="1DFEF48B"/>
    <w:rsid w:val="1E9F4C3A"/>
    <w:rsid w:val="1FDE2C12"/>
    <w:rsid w:val="24305A06"/>
    <w:rsid w:val="28B11DA2"/>
    <w:rsid w:val="2A4830B8"/>
    <w:rsid w:val="39204338"/>
    <w:rsid w:val="3BD9551C"/>
    <w:rsid w:val="3BF7822D"/>
    <w:rsid w:val="3F791594"/>
    <w:rsid w:val="3FEF825B"/>
    <w:rsid w:val="45FD8A71"/>
    <w:rsid w:val="4E415739"/>
    <w:rsid w:val="4F37A3C3"/>
    <w:rsid w:val="57FFFCA8"/>
    <w:rsid w:val="593F58E8"/>
    <w:rsid w:val="5BB47464"/>
    <w:rsid w:val="5CB7BA99"/>
    <w:rsid w:val="5F2F86E9"/>
    <w:rsid w:val="5FE01D6D"/>
    <w:rsid w:val="5FFC71C1"/>
    <w:rsid w:val="64D916AD"/>
    <w:rsid w:val="66E20F29"/>
    <w:rsid w:val="68C0675C"/>
    <w:rsid w:val="695D07DC"/>
    <w:rsid w:val="6B552A9E"/>
    <w:rsid w:val="6DD7B53C"/>
    <w:rsid w:val="6EFAA790"/>
    <w:rsid w:val="7375DF5E"/>
    <w:rsid w:val="76FF519B"/>
    <w:rsid w:val="78F444BF"/>
    <w:rsid w:val="7BE71EB4"/>
    <w:rsid w:val="7BFAD181"/>
    <w:rsid w:val="7D7E018B"/>
    <w:rsid w:val="7DDF1AF8"/>
    <w:rsid w:val="7DFB24B8"/>
    <w:rsid w:val="7E3E0B3C"/>
    <w:rsid w:val="7F3A4C55"/>
    <w:rsid w:val="7F7F8A8C"/>
    <w:rsid w:val="7F9EA7B0"/>
    <w:rsid w:val="7FB7C30D"/>
    <w:rsid w:val="7FBB9175"/>
    <w:rsid w:val="7FE71B81"/>
    <w:rsid w:val="7FFF95F4"/>
    <w:rsid w:val="9B83DEA0"/>
    <w:rsid w:val="9D570E8E"/>
    <w:rsid w:val="A7F82082"/>
    <w:rsid w:val="AFFFE2DF"/>
    <w:rsid w:val="B3EF7825"/>
    <w:rsid w:val="B5BF2B77"/>
    <w:rsid w:val="BEE35A71"/>
    <w:rsid w:val="BFCD2B58"/>
    <w:rsid w:val="D4FD4202"/>
    <w:rsid w:val="D72DFD28"/>
    <w:rsid w:val="D72F0654"/>
    <w:rsid w:val="DB73C688"/>
    <w:rsid w:val="DDFEF735"/>
    <w:rsid w:val="DF562D51"/>
    <w:rsid w:val="DF7FE03E"/>
    <w:rsid w:val="DFF30D5D"/>
    <w:rsid w:val="ECF74D3C"/>
    <w:rsid w:val="EFF9A1F4"/>
    <w:rsid w:val="F3DBE64C"/>
    <w:rsid w:val="F5DD9CA7"/>
    <w:rsid w:val="F6DD208B"/>
    <w:rsid w:val="F7BFCCB3"/>
    <w:rsid w:val="F9F9D835"/>
    <w:rsid w:val="FA7F3EDC"/>
    <w:rsid w:val="FA8E0CE9"/>
    <w:rsid w:val="FBE72CAC"/>
    <w:rsid w:val="FDFF94D0"/>
    <w:rsid w:val="FE7B838E"/>
    <w:rsid w:val="FEFBAE56"/>
    <w:rsid w:val="FF198883"/>
    <w:rsid w:val="FFADD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Body Text"/>
    <w:basedOn w:val="1"/>
    <w:qFormat/>
    <w:uiPriority w:val="0"/>
    <w:pPr>
      <w:spacing w:before="0" w:after="140" w:line="276" w:lineRule="auto"/>
    </w:pPr>
  </w:style>
  <w:style w:type="paragraph" w:styleId="4">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apple-converted-space"/>
    <w:basedOn w:val="8"/>
    <w:qFormat/>
    <w:uiPriority w:val="0"/>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5751</Words>
  <Characters>6068</Characters>
  <Lines>21</Lines>
  <Paragraphs>6</Paragraphs>
  <TotalTime>1</TotalTime>
  <ScaleCrop>false</ScaleCrop>
  <LinksUpToDate>false</LinksUpToDate>
  <CharactersWithSpaces>6212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2018-02-27T07:32:00Z</dcterms:created>
  <dc:creator>微软用户</dc:creator>
  <cp:lastModifiedBy>Castaside</cp:lastModifiedBy>
  <dcterms:modified xsi:type="dcterms:W3CDTF">2023-06-07T07:26:34Z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4B6763C8C9C64C9BBE4DC07E603901F7_13</vt:lpwstr>
  </property>
</Properties>
</file>