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589820">
      <w:pPr>
        <w:widowControl/>
        <w:snapToGrid w:val="0"/>
        <w:jc w:val="center"/>
        <w:rPr>
          <w:rFonts w:hint="eastAsia" w:ascii="方正小标宋简体" w:eastAsia="方正小标宋简体"/>
          <w:bCs/>
          <w:color w:val="000000"/>
          <w:sz w:val="44"/>
          <w:szCs w:val="44"/>
        </w:rPr>
      </w:pPr>
      <w:bookmarkStart w:id="0" w:name="zhengwen"/>
    </w:p>
    <w:p w14:paraId="351EBCBF">
      <w:pPr>
        <w:widowControl/>
        <w:snapToGrid w:val="0"/>
        <w:jc w:val="center"/>
        <w:rPr>
          <w:rFonts w:ascii="方正小标宋简体" w:eastAsia="方正小标宋简体"/>
          <w:bCs/>
          <w:color w:val="000000"/>
          <w:sz w:val="44"/>
          <w:szCs w:val="44"/>
        </w:rPr>
      </w:pPr>
    </w:p>
    <w:p w14:paraId="2D05AEBA">
      <w:pPr>
        <w:widowControl/>
        <w:snapToGrid w:val="0"/>
        <w:jc w:val="center"/>
        <w:rPr>
          <w:rFonts w:ascii="方正小标宋简体" w:eastAsia="方正小标宋简体"/>
          <w:bCs/>
          <w:color w:val="000000"/>
          <w:sz w:val="44"/>
          <w:szCs w:val="44"/>
        </w:rPr>
      </w:pPr>
      <w:r>
        <w:rPr>
          <w:rFonts w:hint="eastAsia" w:ascii="方正小标宋简体" w:eastAsia="方正小标宋简体"/>
          <w:bCs/>
          <w:color w:val="000000"/>
          <w:sz w:val="44"/>
          <w:szCs w:val="44"/>
        </w:rPr>
        <w:t>广安市前锋区烟草制品零售点合理布局规定</w:t>
      </w:r>
    </w:p>
    <w:p w14:paraId="7F2C8E3D">
      <w:pPr>
        <w:widowControl/>
        <w:snapToGrid w:val="0"/>
        <w:jc w:val="center"/>
        <w:rPr>
          <w:rFonts w:ascii="仿宋" w:hAnsi="仿宋" w:eastAsia="仿宋"/>
          <w:bCs/>
          <w:color w:val="000000"/>
          <w:kern w:val="0"/>
          <w:sz w:val="32"/>
          <w:szCs w:val="32"/>
        </w:rPr>
      </w:pPr>
      <w:bookmarkStart w:id="7" w:name="_GoBack"/>
      <w:bookmarkEnd w:id="7"/>
    </w:p>
    <w:p w14:paraId="1154C041">
      <w:pPr>
        <w:numPr>
          <w:ilvl w:val="0"/>
          <w:numId w:val="1"/>
        </w:numPr>
        <w:spacing w:line="600" w:lineRule="exact"/>
        <w:jc w:val="center"/>
        <w:rPr>
          <w:rFonts w:hint="eastAsia" w:ascii="方正黑体" w:hAnsi="黑体" w:eastAsia="方正黑体"/>
          <w:bCs/>
          <w:color w:val="000000"/>
          <w:kern w:val="0"/>
          <w:sz w:val="32"/>
          <w:szCs w:val="32"/>
        </w:rPr>
      </w:pPr>
      <w:r>
        <w:rPr>
          <w:rFonts w:hint="eastAsia" w:ascii="方正黑体" w:hAnsi="黑体" w:eastAsia="方正黑体"/>
          <w:bCs/>
          <w:color w:val="000000"/>
          <w:kern w:val="0"/>
          <w:sz w:val="32"/>
          <w:szCs w:val="32"/>
        </w:rPr>
        <w:t xml:space="preserve"> 总 则</w:t>
      </w:r>
    </w:p>
    <w:p w14:paraId="418A4FDC">
      <w:pPr>
        <w:numPr>
          <w:ilvl w:val="0"/>
          <w:numId w:val="0"/>
        </w:numPr>
        <w:spacing w:line="600" w:lineRule="exact"/>
        <w:jc w:val="both"/>
        <w:rPr>
          <w:rFonts w:hint="eastAsia" w:ascii="方正黑体" w:hAnsi="黑体" w:eastAsia="方正黑体"/>
          <w:bCs/>
          <w:color w:val="000000"/>
          <w:kern w:val="0"/>
          <w:sz w:val="32"/>
          <w:szCs w:val="32"/>
        </w:rPr>
      </w:pPr>
    </w:p>
    <w:p w14:paraId="12EC260A">
      <w:pPr>
        <w:spacing w:line="600" w:lineRule="exact"/>
        <w:ind w:firstLine="640" w:firstLineChars="200"/>
        <w:rPr>
          <w:rFonts w:eastAsia="方正仿宋"/>
          <w:color w:val="000000"/>
          <w:sz w:val="32"/>
          <w:szCs w:val="32"/>
        </w:rPr>
      </w:pPr>
      <w:r>
        <w:rPr>
          <w:rFonts w:ascii="方正楷体" w:eastAsia="方正楷体"/>
          <w:color w:val="000000"/>
          <w:kern w:val="0"/>
          <w:sz w:val="32"/>
          <w:szCs w:val="32"/>
        </w:rPr>
        <w:t>第一条</w:t>
      </w:r>
      <w:r>
        <w:rPr>
          <w:rFonts w:eastAsia="方正仿宋"/>
          <w:color w:val="000000"/>
          <w:sz w:val="32"/>
          <w:szCs w:val="32"/>
        </w:rPr>
        <w:t xml:space="preserve"> 为加强烟草专卖零售许可证管理，切实履行控烟履约责任义务，保护未成年人身心健康，适度满足烟草消费需求，避免市场无序竞争，维护国家利益和消费者利益，根据《中华人民共和国烟草专卖法》《中华人民共和国行政许可法》《中华人民共和国未成年人保护法》《中华人民共和国烟草专卖法实施条例》《烟草专卖许可证管理办法》《烟草专卖许可证管理办法实施细则》等法律法规规章和上级文件规定，结合辖区实际，制定本规定。</w:t>
      </w:r>
    </w:p>
    <w:p w14:paraId="2CCDA907">
      <w:pPr>
        <w:spacing w:line="600" w:lineRule="exact"/>
        <w:ind w:firstLine="640" w:firstLineChars="200"/>
        <w:rPr>
          <w:rFonts w:eastAsia="方正仿宋"/>
          <w:color w:val="000000"/>
          <w:sz w:val="32"/>
          <w:szCs w:val="32"/>
        </w:rPr>
      </w:pPr>
      <w:r>
        <w:rPr>
          <w:rFonts w:ascii="方正楷体" w:eastAsia="方正楷体"/>
          <w:color w:val="000000"/>
          <w:kern w:val="0"/>
          <w:sz w:val="32"/>
          <w:szCs w:val="32"/>
        </w:rPr>
        <w:t>第二条</w:t>
      </w:r>
      <w:r>
        <w:rPr>
          <w:rFonts w:eastAsia="方正仿宋"/>
          <w:color w:val="000000"/>
          <w:sz w:val="32"/>
          <w:szCs w:val="32"/>
        </w:rPr>
        <w:t xml:space="preserve"> 本规定适用于广安市前锋区行政区域范围烟草制品零售点的布局管理，电子烟按照《四川省电子烟零售点布局规划》执行。</w:t>
      </w:r>
    </w:p>
    <w:p w14:paraId="3DFD1055">
      <w:pPr>
        <w:spacing w:line="600" w:lineRule="exact"/>
        <w:ind w:firstLine="640" w:firstLineChars="200"/>
        <w:rPr>
          <w:rFonts w:eastAsia="方正仿宋"/>
          <w:color w:val="000000"/>
          <w:sz w:val="32"/>
          <w:szCs w:val="32"/>
        </w:rPr>
      </w:pPr>
      <w:r>
        <w:rPr>
          <w:rFonts w:ascii="方正楷体" w:eastAsia="方正楷体"/>
          <w:color w:val="000000"/>
          <w:kern w:val="0"/>
          <w:sz w:val="32"/>
          <w:szCs w:val="32"/>
        </w:rPr>
        <w:t>第三条</w:t>
      </w:r>
      <w:r>
        <w:rPr>
          <w:rFonts w:eastAsia="方正仿宋"/>
          <w:color w:val="000000"/>
          <w:sz w:val="32"/>
          <w:szCs w:val="32"/>
        </w:rPr>
        <w:t xml:space="preserve"> 广安市前锋区烟草专卖局遵循依法行政、科学规划、服务社会、均衡发展原则，根据辖区内的人口数量、交通状况、经济发展水平、消费能力等因素，制定本行政区域内的烟草制品零售点合理布局规定。</w:t>
      </w:r>
    </w:p>
    <w:p w14:paraId="35F6C274">
      <w:pPr>
        <w:spacing w:line="600" w:lineRule="exact"/>
        <w:ind w:firstLine="640" w:firstLineChars="200"/>
        <w:rPr>
          <w:rFonts w:eastAsia="方正仿宋"/>
          <w:color w:val="000000"/>
          <w:sz w:val="32"/>
          <w:szCs w:val="32"/>
        </w:rPr>
      </w:pPr>
      <w:r>
        <w:rPr>
          <w:rFonts w:hint="eastAsia" w:ascii="方正楷体" w:eastAsia="方正楷体"/>
          <w:color w:val="000000"/>
          <w:kern w:val="0"/>
          <w:sz w:val="32"/>
          <w:szCs w:val="32"/>
        </w:rPr>
        <w:t>第四条</w:t>
      </w:r>
      <w:r>
        <w:rPr>
          <w:rFonts w:eastAsia="方正仿宋"/>
          <w:color w:val="000000"/>
          <w:sz w:val="32"/>
          <w:szCs w:val="32"/>
        </w:rPr>
        <w:t xml:space="preserve"> 本规定所称的烟草制品零售点（以下简称零售点）是指公民、法人及其他组织依法申请取得烟草专卖零售许可证从事烟草制品零售业务的固定经营场所。</w:t>
      </w:r>
    </w:p>
    <w:p w14:paraId="3FC78989">
      <w:pPr>
        <w:spacing w:line="600" w:lineRule="exact"/>
        <w:ind w:firstLine="640" w:firstLineChars="200"/>
        <w:rPr>
          <w:rFonts w:eastAsia="方正仿宋"/>
          <w:color w:val="000000"/>
          <w:sz w:val="32"/>
          <w:szCs w:val="32"/>
        </w:rPr>
      </w:pPr>
      <w:r>
        <w:rPr>
          <w:rFonts w:ascii="方正楷体" w:eastAsia="方正楷体"/>
          <w:color w:val="000000"/>
          <w:kern w:val="0"/>
          <w:sz w:val="32"/>
          <w:szCs w:val="32"/>
        </w:rPr>
        <w:t>第五条</w:t>
      </w:r>
      <w:r>
        <w:rPr>
          <w:rFonts w:eastAsia="方正仿宋"/>
          <w:color w:val="000000"/>
          <w:sz w:val="32"/>
          <w:szCs w:val="32"/>
        </w:rPr>
        <w:t xml:space="preserve"> 广安市前锋区烟草专卖局采取“容量管理+间距调整”模式，对辖区各市场单元内的零售点进行布局调整。</w:t>
      </w:r>
    </w:p>
    <w:p w14:paraId="70104170">
      <w:pPr>
        <w:spacing w:line="600" w:lineRule="exact"/>
        <w:ind w:firstLine="640" w:firstLineChars="200"/>
        <w:rPr>
          <w:rFonts w:eastAsia="方正仿宋"/>
          <w:color w:val="000000"/>
          <w:sz w:val="32"/>
          <w:szCs w:val="32"/>
        </w:rPr>
      </w:pPr>
      <w:r>
        <w:rPr>
          <w:rFonts w:ascii="方正楷体" w:eastAsia="方正楷体"/>
          <w:color w:val="000000"/>
          <w:kern w:val="0"/>
          <w:sz w:val="32"/>
          <w:szCs w:val="32"/>
        </w:rPr>
        <w:t>第六条</w:t>
      </w:r>
      <w:r>
        <w:rPr>
          <w:rFonts w:eastAsia="方正仿宋"/>
          <w:color w:val="000000"/>
          <w:sz w:val="32"/>
          <w:szCs w:val="32"/>
        </w:rPr>
        <w:t xml:space="preserve"> 广安市前锋区烟草专卖局辖区零售点布局以街道、镇为一般市场单元，新建住宅小区、车站、高速路服务区等为特殊市场单元。</w:t>
      </w:r>
    </w:p>
    <w:p w14:paraId="214B4CE8">
      <w:pPr>
        <w:spacing w:line="600" w:lineRule="exact"/>
        <w:ind w:firstLine="640" w:firstLineChars="200"/>
        <w:rPr>
          <w:rFonts w:eastAsia="方正仿宋"/>
          <w:color w:val="000000"/>
          <w:sz w:val="32"/>
          <w:szCs w:val="32"/>
        </w:rPr>
      </w:pPr>
      <w:r>
        <w:rPr>
          <w:rFonts w:eastAsia="方正仿宋"/>
          <w:color w:val="000000"/>
          <w:sz w:val="32"/>
          <w:szCs w:val="32"/>
        </w:rPr>
        <w:t>广安市前锋区烟草专卖局根据辖区人口数量、经济发展趋势、城乡建设进程、人口密度、持证零售户密度、吸烟率、人均吸烟量、户均销量等指标，原则上每两年测算市场单元内零售点的合理容量。</w:t>
      </w:r>
    </w:p>
    <w:p w14:paraId="5A3D08A3">
      <w:pPr>
        <w:numPr>
          <w:ilvl w:val="0"/>
          <w:numId w:val="2"/>
        </w:numPr>
        <w:spacing w:line="600" w:lineRule="exact"/>
        <w:ind w:firstLine="640" w:firstLineChars="200"/>
        <w:rPr>
          <w:rFonts w:eastAsia="方正仿宋"/>
          <w:color w:val="000000"/>
          <w:sz w:val="32"/>
          <w:szCs w:val="32"/>
        </w:rPr>
      </w:pPr>
      <w:r>
        <w:rPr>
          <w:rFonts w:eastAsia="方正仿宋"/>
          <w:color w:val="000000"/>
          <w:sz w:val="32"/>
          <w:szCs w:val="32"/>
        </w:rPr>
        <w:t>广安市前锋区烟草专卖局每半年依据合理容量上限，确定辖区不饱和市场单元当期可新办许可证数量，在广安市烟草专卖局外网、广安市前锋区烟草专卖局服务大厅公示栏和广安新闻网进行公布，公布期为5个工作日。期满前提交的申请，按照该单元原有容量办理。</w:t>
      </w:r>
    </w:p>
    <w:p w14:paraId="26434FE0">
      <w:pPr>
        <w:numPr>
          <w:ilvl w:val="0"/>
          <w:numId w:val="0"/>
        </w:numPr>
        <w:spacing w:line="600" w:lineRule="exact"/>
        <w:rPr>
          <w:rFonts w:eastAsia="方正仿宋"/>
          <w:color w:val="000000"/>
          <w:sz w:val="32"/>
          <w:szCs w:val="32"/>
        </w:rPr>
      </w:pPr>
    </w:p>
    <w:p w14:paraId="6D75465C">
      <w:pPr>
        <w:numPr>
          <w:ilvl w:val="0"/>
          <w:numId w:val="3"/>
        </w:numPr>
        <w:spacing w:line="600" w:lineRule="exact"/>
        <w:jc w:val="center"/>
        <w:rPr>
          <w:rFonts w:hint="eastAsia" w:ascii="方正黑体" w:eastAsia="方正黑体"/>
          <w:bCs/>
          <w:color w:val="000000"/>
          <w:kern w:val="0"/>
          <w:sz w:val="32"/>
          <w:szCs w:val="32"/>
        </w:rPr>
      </w:pPr>
      <w:r>
        <w:rPr>
          <w:rFonts w:hint="eastAsia" w:ascii="方正黑体" w:eastAsia="方正黑体"/>
          <w:bCs/>
          <w:color w:val="000000"/>
          <w:kern w:val="0"/>
          <w:sz w:val="32"/>
          <w:szCs w:val="32"/>
        </w:rPr>
        <w:t>布局标准</w:t>
      </w:r>
    </w:p>
    <w:p w14:paraId="14C171F0">
      <w:pPr>
        <w:spacing w:line="600" w:lineRule="exact"/>
        <w:rPr>
          <w:rFonts w:hint="eastAsia" w:ascii="方正楷体" w:eastAsia="方正楷体"/>
          <w:color w:val="000000"/>
          <w:kern w:val="0"/>
          <w:sz w:val="32"/>
          <w:szCs w:val="32"/>
        </w:rPr>
      </w:pPr>
    </w:p>
    <w:p w14:paraId="77DCBA72">
      <w:pPr>
        <w:spacing w:line="600" w:lineRule="exact"/>
        <w:ind w:firstLine="640" w:firstLineChars="200"/>
        <w:rPr>
          <w:rFonts w:eastAsia="方正仿宋"/>
          <w:color w:val="000000"/>
          <w:sz w:val="32"/>
          <w:szCs w:val="32"/>
        </w:rPr>
      </w:pPr>
      <w:r>
        <w:rPr>
          <w:rFonts w:hint="eastAsia" w:ascii="方正楷体" w:eastAsia="方正楷体"/>
          <w:color w:val="000000"/>
          <w:kern w:val="0"/>
          <w:sz w:val="32"/>
          <w:szCs w:val="32"/>
        </w:rPr>
        <w:t>第八条</w:t>
      </w:r>
      <w:r>
        <w:rPr>
          <w:rFonts w:eastAsia="方正仿宋"/>
          <w:color w:val="000000"/>
          <w:sz w:val="32"/>
          <w:szCs w:val="32"/>
        </w:rPr>
        <w:t xml:space="preserve"> 一般市场单元</w:t>
      </w:r>
    </w:p>
    <w:p w14:paraId="1B0E2BFB">
      <w:pPr>
        <w:spacing w:line="600" w:lineRule="exact"/>
        <w:ind w:firstLine="640" w:firstLineChars="200"/>
        <w:rPr>
          <w:rFonts w:eastAsia="方正仿宋"/>
          <w:color w:val="000000"/>
          <w:sz w:val="32"/>
          <w:szCs w:val="32"/>
        </w:rPr>
      </w:pPr>
      <w:r>
        <w:rPr>
          <w:rFonts w:eastAsia="方正仿宋"/>
          <w:color w:val="000000"/>
          <w:sz w:val="32"/>
          <w:szCs w:val="32"/>
        </w:rPr>
        <w:t>以规定单元内不饱和市场单元当期公示可新办许可证数量为上限，达到上限的不予设置零售点，且相邻零售点之间的间距不少于50米。</w:t>
      </w:r>
    </w:p>
    <w:p w14:paraId="21D71140">
      <w:pPr>
        <w:spacing w:line="600" w:lineRule="exact"/>
        <w:ind w:firstLine="640" w:firstLineChars="200"/>
        <w:rPr>
          <w:rFonts w:eastAsia="方正仿宋"/>
          <w:color w:val="000000"/>
          <w:sz w:val="32"/>
          <w:szCs w:val="32"/>
        </w:rPr>
      </w:pPr>
      <w:r>
        <w:rPr>
          <w:rFonts w:eastAsia="方正仿宋"/>
          <w:color w:val="000000"/>
          <w:sz w:val="32"/>
          <w:szCs w:val="32"/>
        </w:rPr>
        <w:t>除便利店、超市、商场、烟酒商店业态类型以外的业态，以及未上架货品的门市，与相邻零售点间距应达到150米以上。</w:t>
      </w:r>
    </w:p>
    <w:p w14:paraId="3693BD76">
      <w:pPr>
        <w:numPr>
          <w:ilvl w:val="0"/>
          <w:numId w:val="4"/>
        </w:numPr>
        <w:spacing w:line="600" w:lineRule="exact"/>
        <w:ind w:firstLine="640" w:firstLineChars="200"/>
        <w:rPr>
          <w:rFonts w:eastAsia="方正仿宋"/>
          <w:color w:val="000000"/>
          <w:sz w:val="32"/>
          <w:szCs w:val="32"/>
        </w:rPr>
      </w:pPr>
      <w:r>
        <w:rPr>
          <w:rFonts w:eastAsia="方正仿宋"/>
          <w:color w:val="000000"/>
          <w:sz w:val="32"/>
          <w:szCs w:val="32"/>
        </w:rPr>
        <w:t xml:space="preserve">特殊市场单元  </w:t>
      </w:r>
    </w:p>
    <w:p w14:paraId="6ECDDF3B">
      <w:pPr>
        <w:spacing w:line="600" w:lineRule="exact"/>
        <w:ind w:firstLine="640" w:firstLineChars="200"/>
        <w:rPr>
          <w:rFonts w:eastAsia="方正仿宋"/>
          <w:color w:val="000000" w:themeColor="text1"/>
          <w:sz w:val="32"/>
          <w:szCs w:val="32"/>
          <w14:textFill>
            <w14:solidFill>
              <w14:schemeClr w14:val="tx1"/>
            </w14:solidFill>
          </w14:textFill>
        </w:rPr>
      </w:pPr>
      <w:r>
        <w:rPr>
          <w:rFonts w:eastAsia="方正仿宋"/>
          <w:color w:val="000000" w:themeColor="text1"/>
          <w:sz w:val="32"/>
          <w:szCs w:val="32"/>
          <w14:textFill>
            <w14:solidFill>
              <w14:schemeClr w14:val="tx1"/>
            </w14:solidFill>
          </w14:textFill>
        </w:rPr>
        <w:t>特殊市场单元新设置的零售点应纳入下期市场单元容量计算。</w:t>
      </w:r>
    </w:p>
    <w:p w14:paraId="025CDF84">
      <w:pPr>
        <w:spacing w:line="600" w:lineRule="exact"/>
        <w:ind w:firstLine="640" w:firstLineChars="200"/>
        <w:rPr>
          <w:rFonts w:eastAsia="方正仿宋"/>
          <w:color w:val="000000"/>
          <w:sz w:val="32"/>
          <w:szCs w:val="32"/>
        </w:rPr>
      </w:pPr>
      <w:r>
        <w:rPr>
          <w:rFonts w:eastAsia="方正仿宋"/>
          <w:color w:val="000000"/>
          <w:sz w:val="32"/>
          <w:szCs w:val="32"/>
        </w:rPr>
        <w:t>（一）符合下列情形之一的，不受所在一般市场单元容量限制，且不作为当期周边新设置零售点容量参照。</w:t>
      </w:r>
    </w:p>
    <w:p w14:paraId="3543D009">
      <w:pPr>
        <w:spacing w:line="600" w:lineRule="exact"/>
        <w:ind w:firstLine="640" w:firstLineChars="200"/>
        <w:rPr>
          <w:rFonts w:eastAsia="方正仿宋"/>
          <w:color w:val="000000"/>
          <w:sz w:val="32"/>
          <w:szCs w:val="32"/>
        </w:rPr>
      </w:pPr>
      <w:r>
        <w:rPr>
          <w:rFonts w:eastAsia="方正仿宋"/>
          <w:color w:val="000000"/>
          <w:sz w:val="32"/>
          <w:szCs w:val="32"/>
        </w:rPr>
        <w:t>1.新建住宅小区可在规定用途为商业的固定经营场所内设置1个零售点，小区规模每增加500套住房以上的，可增设1个零售点，且相邻零售点的间距不少于50米。</w:t>
      </w:r>
    </w:p>
    <w:p w14:paraId="6C4379FE">
      <w:pPr>
        <w:spacing w:line="600" w:lineRule="exact"/>
        <w:ind w:firstLine="640" w:firstLineChars="200"/>
        <w:rPr>
          <w:rFonts w:eastAsia="方正仿宋"/>
          <w:color w:val="000000"/>
          <w:sz w:val="32"/>
          <w:szCs w:val="32"/>
        </w:rPr>
      </w:pPr>
      <w:r>
        <w:rPr>
          <w:rFonts w:eastAsia="方正仿宋"/>
          <w:color w:val="000000"/>
          <w:sz w:val="32"/>
          <w:szCs w:val="32"/>
        </w:rPr>
        <w:t>新建住宅小区按照广安市前锋区住房和城乡建设局提供的已取得《四川省房屋建筑和市政基础设施工程竣工验收备案书》且已交付使用的新建住宅小区名录，广安市前锋区烟草专卖局每半年公示新建住宅小区及可设置零售点的数量。未在当期名录范围内的按照一般市场单元设置零售点，并作为下期特殊市场单元参照。</w:t>
      </w:r>
    </w:p>
    <w:p w14:paraId="6B8F8F1E">
      <w:pPr>
        <w:ind w:firstLine="640" w:firstLineChars="200"/>
        <w:contextualSpacing/>
        <w:rPr>
          <w:rFonts w:eastAsia="方正仿宋"/>
          <w:color w:val="000000"/>
          <w:sz w:val="32"/>
          <w:szCs w:val="32"/>
        </w:rPr>
      </w:pPr>
      <w:r>
        <w:rPr>
          <w:rFonts w:eastAsia="方正仿宋"/>
          <w:color w:val="000000"/>
          <w:sz w:val="32"/>
          <w:szCs w:val="32"/>
        </w:rPr>
        <w:t>2.建筑面积5000㎡以上的新建商业综合体可在规定用途为商业的固定经营场所内设置1个零售点，与相邻零售点的间距不少于100米。</w:t>
      </w:r>
    </w:p>
    <w:p w14:paraId="391B854C">
      <w:pPr>
        <w:ind w:firstLine="640" w:firstLineChars="200"/>
        <w:contextualSpacing/>
        <w:rPr>
          <w:rFonts w:eastAsia="方正仿宋"/>
          <w:color w:val="000000"/>
          <w:sz w:val="32"/>
          <w:szCs w:val="32"/>
        </w:rPr>
      </w:pPr>
      <w:r>
        <w:rPr>
          <w:rFonts w:eastAsia="方正仿宋"/>
          <w:color w:val="000000"/>
          <w:sz w:val="32"/>
          <w:szCs w:val="32"/>
        </w:rPr>
        <w:t>广安市前锋区烟草专卖局每半年公示新建商业综合体名录。未在当期名录范围内的按照一般市场单元设置零售点，并作为下期特殊市场单元参照。</w:t>
      </w:r>
    </w:p>
    <w:p w14:paraId="19681009">
      <w:pPr>
        <w:numPr>
          <w:ilvl w:val="255"/>
          <w:numId w:val="0"/>
        </w:numPr>
        <w:ind w:firstLine="640" w:firstLineChars="200"/>
        <w:contextualSpacing/>
        <w:rPr>
          <w:rFonts w:eastAsia="方正仿宋"/>
          <w:color w:val="000000"/>
          <w:sz w:val="32"/>
          <w:szCs w:val="32"/>
        </w:rPr>
      </w:pPr>
      <w:r>
        <w:rPr>
          <w:rFonts w:eastAsia="方正仿宋"/>
          <w:color w:val="000000"/>
          <w:sz w:val="32"/>
          <w:szCs w:val="32"/>
        </w:rPr>
        <w:t>（二）符合下列情形之一的，不受所在一般市场单元容量及距离限制，且作为当期周边新设置零售点的参照：</w:t>
      </w:r>
    </w:p>
    <w:p w14:paraId="6459FA28">
      <w:pPr>
        <w:spacing w:line="600" w:lineRule="exact"/>
        <w:ind w:firstLine="640" w:firstLineChars="200"/>
        <w:rPr>
          <w:rFonts w:eastAsia="方正仿宋"/>
          <w:color w:val="000000"/>
          <w:sz w:val="32"/>
          <w:szCs w:val="32"/>
        </w:rPr>
      </w:pPr>
      <w:r>
        <w:rPr>
          <w:rFonts w:eastAsia="方正仿宋"/>
          <w:color w:val="000000"/>
          <w:sz w:val="32"/>
          <w:szCs w:val="32"/>
        </w:rPr>
        <w:t>1.高速公路服务区内可设置1个零售点。</w:t>
      </w:r>
    </w:p>
    <w:p w14:paraId="22BC65C2">
      <w:pPr>
        <w:spacing w:line="600" w:lineRule="exact"/>
        <w:ind w:firstLine="640" w:firstLineChars="200"/>
        <w:rPr>
          <w:rFonts w:eastAsia="方正仿宋"/>
          <w:color w:val="000000"/>
          <w:sz w:val="32"/>
          <w:szCs w:val="32"/>
        </w:rPr>
      </w:pPr>
      <w:r>
        <w:rPr>
          <w:rFonts w:eastAsia="方正仿宋"/>
          <w:color w:val="000000"/>
          <w:sz w:val="32"/>
          <w:szCs w:val="32"/>
        </w:rPr>
        <w:t>2.车站（火车站、二级以上汽车站）候车大厅内可设置1个零售点。</w:t>
      </w:r>
    </w:p>
    <w:p w14:paraId="1F963661">
      <w:pPr>
        <w:spacing w:line="600" w:lineRule="exact"/>
        <w:ind w:firstLine="640" w:firstLineChars="200"/>
        <w:rPr>
          <w:rFonts w:eastAsia="方正仿宋"/>
          <w:color w:val="000000"/>
          <w:sz w:val="32"/>
          <w:szCs w:val="32"/>
        </w:rPr>
      </w:pPr>
      <w:r>
        <w:rPr>
          <w:rFonts w:eastAsia="方正仿宋"/>
          <w:color w:val="000000"/>
          <w:sz w:val="32"/>
          <w:szCs w:val="32"/>
        </w:rPr>
        <w:t>3.政府授牌的3星级以上星级饭店的经营主体申办烟草专卖零售许可证，可设置1个零售点。</w:t>
      </w:r>
    </w:p>
    <w:p w14:paraId="1F6F41BE">
      <w:pPr>
        <w:spacing w:line="600" w:lineRule="exact"/>
        <w:ind w:firstLine="640" w:firstLineChars="200"/>
        <w:rPr>
          <w:rFonts w:eastAsia="方正仿宋"/>
          <w:color w:val="000000" w:themeColor="text1"/>
          <w:sz w:val="32"/>
          <w:szCs w:val="32"/>
          <w14:textFill>
            <w14:solidFill>
              <w14:schemeClr w14:val="tx1"/>
            </w14:solidFill>
          </w14:textFill>
        </w:rPr>
      </w:pPr>
      <w:r>
        <w:rPr>
          <w:rFonts w:eastAsia="方正仿宋"/>
          <w:color w:val="000000"/>
          <w:sz w:val="32"/>
          <w:szCs w:val="32"/>
        </w:rPr>
        <w:t>4.</w:t>
      </w:r>
      <w:r>
        <w:rPr>
          <w:rFonts w:eastAsia="方正仿宋"/>
          <w:color w:val="000000" w:themeColor="text1"/>
          <w:sz w:val="32"/>
          <w:szCs w:val="32"/>
          <w14:textFill>
            <w14:solidFill>
              <w14:schemeClr w14:val="tx1"/>
            </w14:solidFill>
          </w14:textFill>
        </w:rPr>
        <w:t>营业面积2000㎡以上的酒店、饭店内，业态为便利店、超市、商场、烟酒商店的个体工商户，可设置1个零售点。</w:t>
      </w:r>
    </w:p>
    <w:p w14:paraId="6DD3FDA6">
      <w:pPr>
        <w:spacing w:line="600" w:lineRule="exact"/>
        <w:ind w:firstLine="640" w:firstLineChars="200"/>
        <w:rPr>
          <w:rFonts w:eastAsia="方正仿宋"/>
          <w:color w:val="000000" w:themeColor="text1"/>
          <w:sz w:val="32"/>
          <w:szCs w:val="32"/>
          <w14:textFill>
            <w14:solidFill>
              <w14:schemeClr w14:val="tx1"/>
            </w14:solidFill>
          </w14:textFill>
        </w:rPr>
      </w:pPr>
      <w:r>
        <w:rPr>
          <w:rFonts w:eastAsia="方正仿宋"/>
          <w:color w:val="000000" w:themeColor="text1"/>
          <w:sz w:val="32"/>
          <w:szCs w:val="32"/>
          <w14:textFill>
            <w14:solidFill>
              <w14:schemeClr w14:val="tx1"/>
            </w14:solidFill>
          </w14:textFill>
        </w:rPr>
        <w:t>5.政府授牌的2A级以上国家级旅游景区以及地方文旅项目区域内的经营主体申办烟草专卖零售许可证，可设置1个零售点。</w:t>
      </w:r>
    </w:p>
    <w:p w14:paraId="17E52E8A">
      <w:pPr>
        <w:spacing w:line="600" w:lineRule="exact"/>
        <w:ind w:firstLine="640"/>
        <w:rPr>
          <w:rFonts w:eastAsia="方正仿宋"/>
          <w:color w:val="000000" w:themeColor="text1"/>
          <w:sz w:val="32"/>
          <w:szCs w:val="32"/>
          <w14:textFill>
            <w14:solidFill>
              <w14:schemeClr w14:val="tx1"/>
            </w14:solidFill>
          </w14:textFill>
        </w:rPr>
      </w:pPr>
      <w:r>
        <w:rPr>
          <w:rFonts w:eastAsia="方正仿宋"/>
          <w:color w:val="000000" w:themeColor="text1"/>
          <w:sz w:val="32"/>
          <w:szCs w:val="32"/>
          <w14:textFill>
            <w14:solidFill>
              <w14:schemeClr w14:val="tx1"/>
            </w14:solidFill>
          </w14:textFill>
        </w:rPr>
        <w:t>6.营业面积2000㎡以上的商场、400㎡以上的超市、200㎡以上的烟草专业店，可设置1个零售点。</w:t>
      </w:r>
    </w:p>
    <w:p w14:paraId="0A69A922">
      <w:pPr>
        <w:spacing w:line="600" w:lineRule="exact"/>
        <w:ind w:firstLine="640" w:firstLineChars="200"/>
        <w:rPr>
          <w:rFonts w:eastAsia="方正仿宋"/>
          <w:color w:val="000000" w:themeColor="text1"/>
          <w:sz w:val="32"/>
          <w:szCs w:val="32"/>
          <w14:textFill>
            <w14:solidFill>
              <w14:schemeClr w14:val="tx1"/>
            </w14:solidFill>
          </w14:textFill>
        </w:rPr>
      </w:pPr>
      <w:r>
        <w:rPr>
          <w:rFonts w:eastAsia="方正仿宋"/>
          <w:color w:val="000000" w:themeColor="text1"/>
          <w:sz w:val="32"/>
          <w:szCs w:val="32"/>
          <w14:textFill>
            <w14:solidFill>
              <w14:schemeClr w14:val="tx1"/>
            </w14:solidFill>
          </w14:textFill>
        </w:rPr>
        <w:t>7.建筑面积5000㎡以上的新兴市场可在规定用途为商业的固定经营场所内，可设置1个零售点。</w:t>
      </w:r>
    </w:p>
    <w:p w14:paraId="1EE48DB4">
      <w:pPr>
        <w:ind w:firstLine="320" w:firstLineChars="100"/>
        <w:rPr>
          <w:rFonts w:eastAsia="方正仿宋"/>
          <w:color w:val="000000" w:themeColor="text1"/>
          <w:sz w:val="32"/>
          <w:szCs w:val="32"/>
          <w14:textFill>
            <w14:solidFill>
              <w14:schemeClr w14:val="tx1"/>
            </w14:solidFill>
          </w14:textFill>
        </w:rPr>
      </w:pPr>
      <w:bookmarkStart w:id="1" w:name="OLE_LINK49"/>
      <w:bookmarkStart w:id="2" w:name="OLE_LINK50"/>
      <w:r>
        <w:rPr>
          <w:rFonts w:eastAsia="方正仿宋"/>
          <w:color w:val="000000" w:themeColor="text1"/>
          <w:sz w:val="32"/>
          <w:szCs w:val="32"/>
          <w14:textFill>
            <w14:solidFill>
              <w14:schemeClr w14:val="tx1"/>
            </w14:solidFill>
          </w14:textFill>
        </w:rPr>
        <w:t xml:space="preserve">  8.未设置零售点的行政村（自然村），</w:t>
      </w:r>
      <w:bookmarkStart w:id="3" w:name="OLE_LINK3"/>
      <w:bookmarkStart w:id="4" w:name="OLE_LINK4"/>
      <w:r>
        <w:rPr>
          <w:rFonts w:eastAsia="方正仿宋"/>
          <w:color w:val="000000" w:themeColor="text1"/>
          <w:sz w:val="32"/>
          <w:szCs w:val="32"/>
          <w14:textFill>
            <w14:solidFill>
              <w14:schemeClr w14:val="tx1"/>
            </w14:solidFill>
          </w14:textFill>
        </w:rPr>
        <w:t>可设置1个零售点。</w:t>
      </w:r>
      <w:bookmarkEnd w:id="1"/>
      <w:bookmarkEnd w:id="2"/>
      <w:bookmarkEnd w:id="3"/>
      <w:bookmarkEnd w:id="4"/>
    </w:p>
    <w:p w14:paraId="1FB654B4">
      <w:pPr>
        <w:numPr>
          <w:ilvl w:val="0"/>
          <w:numId w:val="5"/>
        </w:numPr>
        <w:spacing w:line="600" w:lineRule="exact"/>
        <w:ind w:firstLine="640" w:firstLineChars="200"/>
        <w:rPr>
          <w:rFonts w:eastAsia="方正仿宋"/>
          <w:color w:val="000000" w:themeColor="text1"/>
          <w:sz w:val="32"/>
          <w:szCs w:val="32"/>
          <w14:textFill>
            <w14:solidFill>
              <w14:schemeClr w14:val="tx1"/>
            </w14:solidFill>
          </w14:textFill>
        </w:rPr>
      </w:pPr>
      <w:r>
        <w:rPr>
          <w:rFonts w:eastAsia="方正仿宋"/>
          <w:color w:val="000000" w:themeColor="text1"/>
          <w:sz w:val="32"/>
          <w:szCs w:val="32"/>
          <w14:textFill>
            <w14:solidFill>
              <w14:schemeClr w14:val="tx1"/>
            </w14:solidFill>
          </w14:textFill>
        </w:rPr>
        <w:t>雪茄烟零售点在每个街道办事处管辖范围内可设置1个，与其他卷烟零售点互不作为参照。经营范围不包含卷烟本店零售、消费类烟丝本店零售，且应当符合下列条件：</w:t>
      </w:r>
    </w:p>
    <w:p w14:paraId="6FB93F7A">
      <w:pPr>
        <w:spacing w:line="600" w:lineRule="exact"/>
        <w:ind w:firstLine="640" w:firstLineChars="200"/>
        <w:rPr>
          <w:rFonts w:eastAsia="方正仿宋"/>
          <w:color w:val="000000" w:themeColor="text1"/>
          <w:sz w:val="32"/>
          <w:szCs w:val="32"/>
          <w14:textFill>
            <w14:solidFill>
              <w14:schemeClr w14:val="tx1"/>
            </w14:solidFill>
          </w14:textFill>
        </w:rPr>
      </w:pPr>
      <w:r>
        <w:rPr>
          <w:rFonts w:eastAsia="方正仿宋"/>
          <w:color w:val="000000" w:themeColor="text1"/>
          <w:sz w:val="32"/>
          <w:szCs w:val="32"/>
          <w14:textFill>
            <w14:solidFill>
              <w14:schemeClr w14:val="tx1"/>
            </w14:solidFill>
          </w14:textFill>
        </w:rPr>
        <w:t>1.有专门用于雪茄烟陈列、展示的设施。</w:t>
      </w:r>
    </w:p>
    <w:p w14:paraId="7A02501C">
      <w:pPr>
        <w:spacing w:line="600" w:lineRule="exact"/>
        <w:ind w:firstLine="640" w:firstLineChars="200"/>
        <w:rPr>
          <w:rFonts w:eastAsia="方正仿宋"/>
          <w:color w:val="000000" w:themeColor="text1"/>
          <w:sz w:val="32"/>
          <w:szCs w:val="32"/>
          <w14:textFill>
            <w14:solidFill>
              <w14:schemeClr w14:val="tx1"/>
            </w14:solidFill>
          </w14:textFill>
        </w:rPr>
      </w:pPr>
      <w:r>
        <w:rPr>
          <w:rFonts w:eastAsia="方正仿宋"/>
          <w:color w:val="000000" w:themeColor="text1"/>
          <w:sz w:val="32"/>
          <w:szCs w:val="32"/>
          <w14:textFill>
            <w14:solidFill>
              <w14:schemeClr w14:val="tx1"/>
            </w14:solidFill>
          </w14:textFill>
        </w:rPr>
        <w:t>2.有能够恒定维持雪茄烟储存所需湿度、温度条件的设备设施。</w:t>
      </w:r>
    </w:p>
    <w:p w14:paraId="2EFAFC4D">
      <w:pPr>
        <w:spacing w:line="600" w:lineRule="exact"/>
        <w:ind w:firstLine="640" w:firstLineChars="200"/>
        <w:rPr>
          <w:rFonts w:eastAsia="方正仿宋"/>
          <w:color w:val="000000" w:themeColor="text1"/>
          <w:sz w:val="32"/>
          <w:szCs w:val="32"/>
          <w14:textFill>
            <w14:solidFill>
              <w14:schemeClr w14:val="tx1"/>
            </w14:solidFill>
          </w14:textFill>
        </w:rPr>
      </w:pPr>
      <w:r>
        <w:rPr>
          <w:rFonts w:eastAsia="方正仿宋"/>
          <w:color w:val="000000" w:themeColor="text1"/>
          <w:sz w:val="32"/>
          <w:szCs w:val="32"/>
          <w14:textFill>
            <w14:solidFill>
              <w14:schemeClr w14:val="tx1"/>
            </w14:solidFill>
          </w14:textFill>
        </w:rPr>
        <w:t>3.有满足雪茄烟品鉴条件的区域、工具及良好通风条件的品鉴环境。</w:t>
      </w:r>
    </w:p>
    <w:p w14:paraId="6F7505DE">
      <w:pPr>
        <w:ind w:firstLine="640"/>
        <w:rPr>
          <w:rFonts w:eastAsia="方正仿宋"/>
          <w:color w:val="000000" w:themeColor="text1"/>
          <w:sz w:val="32"/>
          <w:szCs w:val="32"/>
          <w14:textFill>
            <w14:solidFill>
              <w14:schemeClr w14:val="tx1"/>
            </w14:solidFill>
          </w14:textFill>
        </w:rPr>
      </w:pPr>
      <w:r>
        <w:rPr>
          <w:rFonts w:eastAsia="方正仿宋"/>
          <w:color w:val="000000" w:themeColor="text1"/>
          <w:sz w:val="32"/>
          <w:szCs w:val="32"/>
          <w14:textFill>
            <w14:solidFill>
              <w14:schemeClr w14:val="tx1"/>
            </w14:solidFill>
          </w14:textFill>
        </w:rPr>
        <w:t>雪茄烟零售点是指仅申请从事雪茄烟本店零售的经营场所。雪茄烟零售点变更经营范围，应符合一般市场单元烟草制品零售点布局规划要求。</w:t>
      </w:r>
    </w:p>
    <w:p w14:paraId="57B6F5D6">
      <w:pPr>
        <w:spacing w:line="600" w:lineRule="exact"/>
        <w:ind w:firstLine="640" w:firstLineChars="200"/>
        <w:rPr>
          <w:rFonts w:eastAsia="方正仿宋"/>
          <w:color w:val="000000" w:themeColor="text1"/>
          <w:sz w:val="32"/>
          <w:szCs w:val="32"/>
          <w14:textFill>
            <w14:solidFill>
              <w14:schemeClr w14:val="tx1"/>
            </w14:solidFill>
          </w14:textFill>
        </w:rPr>
      </w:pPr>
      <w:r>
        <w:rPr>
          <w:rFonts w:ascii="方正楷体" w:eastAsia="方正楷体"/>
          <w:color w:val="000000"/>
          <w:kern w:val="0"/>
          <w:sz w:val="32"/>
          <w:szCs w:val="32"/>
        </w:rPr>
        <w:t>第十条</w:t>
      </w:r>
      <w:r>
        <w:rPr>
          <w:rFonts w:eastAsia="方正仿宋"/>
          <w:color w:val="000000" w:themeColor="text1"/>
          <w:sz w:val="32"/>
          <w:szCs w:val="32"/>
          <w14:textFill>
            <w14:solidFill>
              <w14:schemeClr w14:val="tx1"/>
            </w14:solidFill>
          </w14:textFill>
        </w:rPr>
        <w:t xml:space="preserve"> 符合下列情形之一的，不受所在一般市场单元容量及间距限制，且不作为当期周边新设置零售点的参照：</w:t>
      </w:r>
    </w:p>
    <w:p w14:paraId="3F425134">
      <w:pPr>
        <w:spacing w:line="600" w:lineRule="exact"/>
        <w:ind w:firstLine="640" w:firstLineChars="200"/>
        <w:rPr>
          <w:rFonts w:eastAsia="方正仿宋"/>
          <w:color w:val="000000" w:themeColor="text1"/>
          <w:sz w:val="32"/>
          <w:szCs w:val="32"/>
          <w14:textFill>
            <w14:solidFill>
              <w14:schemeClr w14:val="tx1"/>
            </w14:solidFill>
          </w14:textFill>
        </w:rPr>
      </w:pPr>
      <w:r>
        <w:rPr>
          <w:rFonts w:eastAsia="方正仿宋"/>
          <w:color w:val="000000" w:themeColor="text1"/>
          <w:sz w:val="32"/>
          <w:szCs w:val="32"/>
          <w14:textFill>
            <w14:solidFill>
              <w14:schemeClr w14:val="tx1"/>
            </w14:solidFill>
          </w14:textFill>
        </w:rPr>
        <w:t>（一）“三属”人员年满十八周岁，且其本人申请的。</w:t>
      </w:r>
    </w:p>
    <w:p w14:paraId="16B53392">
      <w:pPr>
        <w:widowControl/>
        <w:spacing w:line="600" w:lineRule="exact"/>
        <w:ind w:firstLine="640" w:firstLineChars="200"/>
        <w:rPr>
          <w:rFonts w:eastAsia="方正仿宋"/>
          <w:color w:val="000000" w:themeColor="text1"/>
          <w:sz w:val="32"/>
          <w:szCs w:val="32"/>
          <w14:textFill>
            <w14:solidFill>
              <w14:schemeClr w14:val="tx1"/>
            </w14:solidFill>
          </w14:textFill>
        </w:rPr>
      </w:pPr>
      <w:r>
        <w:rPr>
          <w:rFonts w:eastAsia="方正仿宋"/>
          <w:color w:val="000000" w:themeColor="text1"/>
          <w:sz w:val="32"/>
          <w:szCs w:val="32"/>
          <w14:textFill>
            <w14:solidFill>
              <w14:schemeClr w14:val="tx1"/>
            </w14:solidFill>
          </w14:textFill>
        </w:rPr>
        <w:t>（二）符合《烟草专卖许可证管理办法》第六十三条规定情形的。</w:t>
      </w:r>
    </w:p>
    <w:p w14:paraId="73A73978">
      <w:pPr>
        <w:widowControl/>
        <w:spacing w:line="600" w:lineRule="exact"/>
        <w:ind w:firstLine="640" w:firstLineChars="200"/>
        <w:rPr>
          <w:rFonts w:eastAsia="方正仿宋"/>
          <w:color w:val="000000" w:themeColor="text1"/>
          <w:sz w:val="32"/>
          <w:szCs w:val="32"/>
          <w14:textFill>
            <w14:solidFill>
              <w14:schemeClr w14:val="tx1"/>
            </w14:solidFill>
          </w14:textFill>
        </w:rPr>
      </w:pPr>
      <w:r>
        <w:rPr>
          <w:rFonts w:eastAsia="方正仿宋"/>
          <w:color w:val="000000" w:themeColor="text1"/>
          <w:sz w:val="32"/>
          <w:szCs w:val="32"/>
          <w14:textFill>
            <w14:solidFill>
              <w14:schemeClr w14:val="tx1"/>
            </w14:solidFill>
          </w14:textFill>
        </w:rPr>
        <w:t>（三）因道路规划、城市建设等客观原因，造成从核定经营地址变更到原发证机关辖区内其他地址经营的（政府相关职能部门出具相关书面证明材料），持证人申请变更到原发证机关辖区内其他地址经营的。</w:t>
      </w:r>
    </w:p>
    <w:p w14:paraId="3350D456">
      <w:pPr>
        <w:spacing w:line="600" w:lineRule="exact"/>
        <w:ind w:firstLine="640" w:firstLineChars="200"/>
        <w:rPr>
          <w:rFonts w:eastAsia="方正仿宋"/>
          <w:color w:val="000000" w:themeColor="text1"/>
          <w:sz w:val="32"/>
          <w:szCs w:val="32"/>
          <w14:textFill>
            <w14:solidFill>
              <w14:schemeClr w14:val="tx1"/>
            </w14:solidFill>
          </w14:textFill>
        </w:rPr>
      </w:pPr>
      <w:r>
        <w:rPr>
          <w:rFonts w:eastAsia="方正仿宋"/>
          <w:color w:val="000000" w:themeColor="text1"/>
          <w:sz w:val="32"/>
          <w:szCs w:val="32"/>
          <w14:textFill>
            <w14:solidFill>
              <w14:schemeClr w14:val="tx1"/>
            </w14:solidFill>
          </w14:textFill>
        </w:rPr>
        <w:t>（四）中小学校、幼儿园周围不予发放烟草专卖零售许可证的距离范围内，原持证人在烟草专卖零售许可证有效期内主动申请搬迁到原发证机关辖区内其他地址经营的。</w:t>
      </w:r>
    </w:p>
    <w:p w14:paraId="6627D5FB">
      <w:pPr>
        <w:spacing w:line="600" w:lineRule="exact"/>
        <w:ind w:firstLine="640" w:firstLineChars="200"/>
        <w:rPr>
          <w:rFonts w:eastAsia="方正仿宋"/>
          <w:color w:val="000000" w:themeColor="text1"/>
          <w:sz w:val="32"/>
          <w:szCs w:val="32"/>
          <w14:textFill>
            <w14:solidFill>
              <w14:schemeClr w14:val="tx1"/>
            </w14:solidFill>
          </w14:textFill>
        </w:rPr>
      </w:pPr>
      <w:r>
        <w:rPr>
          <w:rFonts w:eastAsia="方正仿宋"/>
          <w:color w:val="000000" w:themeColor="text1"/>
          <w:sz w:val="32"/>
          <w:szCs w:val="32"/>
          <w14:textFill>
            <w14:solidFill>
              <w14:schemeClr w14:val="tx1"/>
            </w14:solidFill>
          </w14:textFill>
        </w:rPr>
        <w:t>（五）依据本条第四项已搬迁的烟草专卖零售许可证，当本条第四项规定的不予发放烟草专卖零售许可证的条件消除时，持证人将该烟草专卖零售许可证歇业后在原搬出地址重新申领的。</w:t>
      </w:r>
    </w:p>
    <w:p w14:paraId="22EF6280">
      <w:pPr>
        <w:widowControl/>
        <w:spacing w:line="600" w:lineRule="exact"/>
        <w:ind w:firstLine="640" w:firstLineChars="200"/>
        <w:rPr>
          <w:rFonts w:eastAsia="方正仿宋"/>
          <w:color w:val="000000" w:themeColor="text1"/>
          <w:sz w:val="32"/>
          <w:szCs w:val="32"/>
          <w14:textFill>
            <w14:solidFill>
              <w14:schemeClr w14:val="tx1"/>
            </w14:solidFill>
          </w14:textFill>
        </w:rPr>
      </w:pPr>
      <w:r>
        <w:rPr>
          <w:rFonts w:ascii="方正楷体" w:eastAsia="方正楷体"/>
          <w:color w:val="000000"/>
          <w:kern w:val="0"/>
          <w:sz w:val="32"/>
          <w:szCs w:val="32"/>
        </w:rPr>
        <w:t>第十一条</w:t>
      </w:r>
      <w:r>
        <w:rPr>
          <w:rFonts w:eastAsia="方正仿宋"/>
          <w:color w:val="000000" w:themeColor="text1"/>
          <w:sz w:val="32"/>
          <w:szCs w:val="32"/>
          <w14:textFill>
            <w14:solidFill>
              <w14:schemeClr w14:val="tx1"/>
            </w14:solidFill>
          </w14:textFill>
        </w:rPr>
        <w:t xml:space="preserve"> 符合下列情形之一的，不受所在一般市场单元容量限制，间距按申请所在一般市场单元标准的80%给予优待，且作为当期周边新设置零售点的参照：申请人为视力残疾的一级盲、二级盲，听力残疾的一、二、三级，言语残疾的一、二、三级，肢体残疾的重度（一级）、中度（二级）本人申请。</w:t>
      </w:r>
    </w:p>
    <w:p w14:paraId="2706D8F1">
      <w:pPr>
        <w:ind w:firstLine="640" w:firstLineChars="200"/>
        <w:contextualSpacing/>
        <w:rPr>
          <w:rFonts w:eastAsia="方正仿宋"/>
          <w:color w:val="000000" w:themeColor="text1"/>
          <w:sz w:val="32"/>
          <w:szCs w:val="32"/>
          <w14:textFill>
            <w14:solidFill>
              <w14:schemeClr w14:val="tx1"/>
            </w14:solidFill>
          </w14:textFill>
        </w:rPr>
      </w:pPr>
      <w:r>
        <w:rPr>
          <w:rFonts w:hint="eastAsia" w:ascii="方正楷体" w:eastAsia="方正楷体"/>
          <w:color w:val="000000"/>
          <w:kern w:val="0"/>
          <w:sz w:val="32"/>
          <w:szCs w:val="32"/>
        </w:rPr>
        <w:t>第十二条</w:t>
      </w:r>
      <w:r>
        <w:rPr>
          <w:rFonts w:eastAsia="方正仿宋"/>
          <w:color w:val="000000" w:themeColor="text1"/>
          <w:sz w:val="32"/>
          <w:szCs w:val="32"/>
          <w14:textFill>
            <w14:solidFill>
              <w14:schemeClr w14:val="tx1"/>
            </w14:solidFill>
          </w14:textFill>
        </w:rPr>
        <w:t xml:space="preserve"> 本规定第十条、第十一条给予优待的情形，同一客观情形且同一申请人只能在发证机关辖区范围内给予一次优待。</w:t>
      </w:r>
    </w:p>
    <w:p w14:paraId="6EB8BB57">
      <w:pPr>
        <w:spacing w:line="600" w:lineRule="exact"/>
        <w:ind w:firstLine="640" w:firstLineChars="200"/>
        <w:rPr>
          <w:rFonts w:eastAsia="方正仿宋"/>
          <w:color w:val="000000" w:themeColor="text1"/>
          <w:sz w:val="32"/>
          <w:szCs w:val="32"/>
          <w14:textFill>
            <w14:solidFill>
              <w14:schemeClr w14:val="tx1"/>
            </w14:solidFill>
          </w14:textFill>
        </w:rPr>
      </w:pPr>
      <w:r>
        <w:rPr>
          <w:rFonts w:eastAsia="方正仿宋"/>
          <w:color w:val="000000" w:themeColor="text1"/>
          <w:sz w:val="32"/>
          <w:szCs w:val="32"/>
          <w14:textFill>
            <w14:solidFill>
              <w14:schemeClr w14:val="tx1"/>
            </w14:solidFill>
          </w14:textFill>
        </w:rPr>
        <w:t>残疾人、“三属”需要适用办证适当优待政策的个人，需符合《</w:t>
      </w:r>
      <w:r>
        <w:rPr>
          <w:rFonts w:eastAsia="方正仿宋"/>
          <w:color w:val="000000"/>
          <w:sz w:val="32"/>
          <w:szCs w:val="32"/>
        </w:rPr>
        <w:t>广安市</w:t>
      </w:r>
      <w:r>
        <w:rPr>
          <w:rFonts w:eastAsia="方正仿宋"/>
          <w:color w:val="000000" w:themeColor="text1"/>
          <w:sz w:val="32"/>
          <w:szCs w:val="32"/>
          <w14:textFill>
            <w14:solidFill>
              <w14:schemeClr w14:val="tx1"/>
            </w14:solidFill>
          </w14:textFill>
        </w:rPr>
        <w:t>前锋区烟草专卖局关于残疾人、“三属”优待条件的认定标准》（见附件），且在本辖区范围内未取得烟草专卖零售许可证，其工商营业执照的市场类型为个体工商户且组成形式为个人经营。若持证主体在家庭共同经营成员间变更，则需达到该市场单元内一般申请主体的办证要求。</w:t>
      </w:r>
    </w:p>
    <w:p w14:paraId="4E90EA22">
      <w:pPr>
        <w:spacing w:line="600" w:lineRule="exact"/>
        <w:ind w:firstLine="640" w:firstLineChars="200"/>
        <w:rPr>
          <w:rFonts w:eastAsia="方正仿宋"/>
          <w:color w:val="000000" w:themeColor="text1"/>
          <w:sz w:val="32"/>
          <w:szCs w:val="32"/>
          <w14:textFill>
            <w14:solidFill>
              <w14:schemeClr w14:val="tx1"/>
            </w14:solidFill>
          </w14:textFill>
        </w:rPr>
      </w:pPr>
      <w:r>
        <w:rPr>
          <w:rFonts w:hint="eastAsia" w:ascii="方正楷体" w:eastAsia="方正楷体"/>
          <w:color w:val="000000"/>
          <w:kern w:val="0"/>
          <w:sz w:val="32"/>
          <w:szCs w:val="32"/>
        </w:rPr>
        <w:t>第十三条</w:t>
      </w:r>
      <w:r>
        <w:rPr>
          <w:rFonts w:eastAsia="方正仿宋"/>
          <w:color w:val="000000" w:themeColor="text1"/>
          <w:sz w:val="32"/>
          <w:szCs w:val="32"/>
          <w14:textFill>
            <w14:solidFill>
              <w14:schemeClr w14:val="tx1"/>
            </w14:solidFill>
          </w14:textFill>
        </w:rPr>
        <w:t xml:space="preserve"> 具有下列情形之一的，不予发放烟草专卖零售许可证：</w:t>
      </w:r>
    </w:p>
    <w:p w14:paraId="247182B0">
      <w:pPr>
        <w:spacing w:line="600" w:lineRule="exact"/>
        <w:ind w:firstLine="640" w:firstLineChars="200"/>
        <w:rPr>
          <w:rFonts w:eastAsia="方正仿宋"/>
          <w:color w:val="000000" w:themeColor="text1"/>
          <w:kern w:val="0"/>
          <w:sz w:val="32"/>
          <w:szCs w:val="32"/>
          <w14:textFill>
            <w14:solidFill>
              <w14:schemeClr w14:val="tx1"/>
            </w14:solidFill>
          </w14:textFill>
        </w:rPr>
      </w:pPr>
      <w:r>
        <w:rPr>
          <w:rFonts w:eastAsia="方正仿宋"/>
          <w:color w:val="000000" w:themeColor="text1"/>
          <w:kern w:val="0"/>
          <w:sz w:val="32"/>
          <w:szCs w:val="32"/>
          <w14:textFill>
            <w14:solidFill>
              <w14:schemeClr w14:val="tx1"/>
            </w14:solidFill>
          </w14:textFill>
        </w:rPr>
        <w:t>（一）申请资格方面：</w:t>
      </w:r>
    </w:p>
    <w:p w14:paraId="13E9E643">
      <w:pPr>
        <w:spacing w:line="600" w:lineRule="exact"/>
        <w:ind w:firstLine="640" w:firstLineChars="200"/>
        <w:rPr>
          <w:rFonts w:eastAsia="方正仿宋"/>
          <w:color w:val="000000" w:themeColor="text1"/>
          <w:kern w:val="0"/>
          <w:sz w:val="32"/>
          <w:szCs w:val="32"/>
          <w14:textFill>
            <w14:solidFill>
              <w14:schemeClr w14:val="tx1"/>
            </w14:solidFill>
          </w14:textFill>
        </w:rPr>
      </w:pPr>
      <w:r>
        <w:rPr>
          <w:rFonts w:eastAsia="方正仿宋"/>
          <w:color w:val="000000" w:themeColor="text1"/>
          <w:kern w:val="0"/>
          <w:sz w:val="32"/>
          <w:szCs w:val="32"/>
          <w14:textFill>
            <w14:solidFill>
              <w14:schemeClr w14:val="tx1"/>
            </w14:solidFill>
          </w14:textFill>
        </w:rPr>
        <w:t>1.无民事行为能力或限制民事行为能力人；</w:t>
      </w:r>
    </w:p>
    <w:p w14:paraId="172FDF06">
      <w:pPr>
        <w:spacing w:line="600" w:lineRule="exact"/>
        <w:ind w:firstLine="640" w:firstLineChars="200"/>
        <w:rPr>
          <w:rFonts w:eastAsia="方正仿宋"/>
          <w:color w:val="000000" w:themeColor="text1"/>
          <w:kern w:val="0"/>
          <w:sz w:val="32"/>
          <w:szCs w:val="32"/>
          <w14:textFill>
            <w14:solidFill>
              <w14:schemeClr w14:val="tx1"/>
            </w14:solidFill>
          </w14:textFill>
        </w:rPr>
      </w:pPr>
      <w:r>
        <w:rPr>
          <w:rFonts w:eastAsia="方正仿宋"/>
          <w:color w:val="000000" w:themeColor="text1"/>
          <w:kern w:val="0"/>
          <w:sz w:val="32"/>
          <w:szCs w:val="32"/>
          <w14:textFill>
            <w14:solidFill>
              <w14:schemeClr w14:val="tx1"/>
            </w14:solidFill>
          </w14:textFill>
        </w:rPr>
        <w:t>2.外商投资的商业企业或者个体工商户（业态为娱乐服务类、内资企业或个体工商户租赁外商投资的商业企业经营场所从事烟草零售业务除外）；</w:t>
      </w:r>
    </w:p>
    <w:p w14:paraId="710874C2">
      <w:pPr>
        <w:spacing w:line="600" w:lineRule="exact"/>
        <w:ind w:firstLine="640" w:firstLineChars="200"/>
        <w:rPr>
          <w:rFonts w:eastAsia="方正仿宋"/>
          <w:color w:val="000000" w:themeColor="text1"/>
          <w:sz w:val="32"/>
          <w:szCs w:val="32"/>
          <w14:textFill>
            <w14:solidFill>
              <w14:schemeClr w14:val="tx1"/>
            </w14:solidFill>
          </w14:textFill>
        </w:rPr>
      </w:pPr>
      <w:r>
        <w:rPr>
          <w:rFonts w:eastAsia="方正仿宋"/>
          <w:color w:val="000000" w:themeColor="text1"/>
          <w:sz w:val="32"/>
          <w:szCs w:val="32"/>
          <w14:textFill>
            <w14:solidFill>
              <w14:schemeClr w14:val="tx1"/>
            </w14:solidFill>
          </w14:textFill>
        </w:rPr>
        <w:t>3.与外资市场主体在同一经营场所经营，不具备独立收银人员、独立收银系统、独立收银小票，不具备独立资金结算条件的；</w:t>
      </w:r>
    </w:p>
    <w:p w14:paraId="689A82B3">
      <w:pPr>
        <w:spacing w:line="600" w:lineRule="exact"/>
        <w:ind w:firstLine="640" w:firstLineChars="200"/>
        <w:rPr>
          <w:rFonts w:eastAsia="方正仿宋"/>
          <w:color w:val="000000" w:themeColor="text1"/>
          <w:kern w:val="0"/>
          <w:sz w:val="32"/>
          <w:szCs w:val="32"/>
          <w14:textFill>
            <w14:solidFill>
              <w14:schemeClr w14:val="tx1"/>
            </w14:solidFill>
          </w14:textFill>
        </w:rPr>
      </w:pPr>
      <w:r>
        <w:rPr>
          <w:rFonts w:eastAsia="方正仿宋"/>
          <w:color w:val="000000" w:themeColor="text1"/>
          <w:kern w:val="0"/>
          <w:sz w:val="32"/>
          <w:szCs w:val="32"/>
          <w14:textFill>
            <w14:solidFill>
              <w14:schemeClr w14:val="tx1"/>
            </w14:solidFill>
          </w14:textFill>
        </w:rPr>
        <w:t>4.未取得营业执照的；</w:t>
      </w:r>
    </w:p>
    <w:p w14:paraId="703BA580">
      <w:pPr>
        <w:spacing w:line="600" w:lineRule="exact"/>
        <w:ind w:firstLine="640" w:firstLineChars="200"/>
        <w:rPr>
          <w:rFonts w:eastAsia="方正仿宋"/>
          <w:color w:val="000000" w:themeColor="text1"/>
          <w:kern w:val="0"/>
          <w:sz w:val="32"/>
          <w:szCs w:val="32"/>
          <w14:textFill>
            <w14:solidFill>
              <w14:schemeClr w14:val="tx1"/>
            </w14:solidFill>
          </w14:textFill>
        </w:rPr>
      </w:pPr>
      <w:r>
        <w:rPr>
          <w:rFonts w:eastAsia="方正仿宋"/>
          <w:color w:val="000000" w:themeColor="text1"/>
          <w:kern w:val="0"/>
          <w:sz w:val="32"/>
          <w:szCs w:val="32"/>
          <w14:textFill>
            <w14:solidFill>
              <w14:schemeClr w14:val="tx1"/>
            </w14:solidFill>
          </w14:textFill>
        </w:rPr>
        <w:t>5.取消从事烟草专卖业务资格不满三年的；</w:t>
      </w:r>
    </w:p>
    <w:p w14:paraId="07726D78">
      <w:pPr>
        <w:spacing w:line="600" w:lineRule="exact"/>
        <w:ind w:firstLine="640" w:firstLineChars="200"/>
        <w:rPr>
          <w:rFonts w:eastAsia="方正仿宋"/>
          <w:color w:val="000000" w:themeColor="text1"/>
          <w:kern w:val="0"/>
          <w:sz w:val="32"/>
          <w:szCs w:val="32"/>
          <w14:textFill>
            <w14:solidFill>
              <w14:schemeClr w14:val="tx1"/>
            </w14:solidFill>
          </w14:textFill>
        </w:rPr>
      </w:pPr>
      <w:r>
        <w:rPr>
          <w:rFonts w:eastAsia="方正仿宋"/>
          <w:color w:val="000000" w:themeColor="text1"/>
          <w:kern w:val="0"/>
          <w:sz w:val="32"/>
          <w:szCs w:val="32"/>
          <w14:textFill>
            <w14:solidFill>
              <w14:schemeClr w14:val="tx1"/>
            </w14:solidFill>
          </w14:textFill>
        </w:rPr>
        <w:t>6.申请人隐瞒有关情况或者提供虚假材料，烟草专卖行政主管部门作出不予受理或者不予发证决定后，申请人一年内再次提出申请的；</w:t>
      </w:r>
    </w:p>
    <w:p w14:paraId="43C9726A">
      <w:pPr>
        <w:spacing w:line="600" w:lineRule="exact"/>
        <w:ind w:firstLine="640" w:firstLineChars="200"/>
        <w:rPr>
          <w:rFonts w:eastAsia="方正仿宋"/>
          <w:color w:val="000000" w:themeColor="text1"/>
          <w:sz w:val="32"/>
          <w:szCs w:val="32"/>
          <w14:textFill>
            <w14:solidFill>
              <w14:schemeClr w14:val="tx1"/>
            </w14:solidFill>
          </w14:textFill>
        </w:rPr>
      </w:pPr>
      <w:r>
        <w:rPr>
          <w:rFonts w:eastAsia="方正仿宋"/>
          <w:color w:val="000000" w:themeColor="text1"/>
          <w:kern w:val="0"/>
          <w:sz w:val="32"/>
          <w:szCs w:val="32"/>
          <w14:textFill>
            <w14:solidFill>
              <w14:schemeClr w14:val="tx1"/>
            </w14:solidFill>
          </w14:textFill>
        </w:rPr>
        <w:t>7.申请人以欺骗、贿赂等不正当手段取得的烟草专卖许可证被撤销后，申请人三年内再次提出申</w:t>
      </w:r>
      <w:r>
        <w:rPr>
          <w:rFonts w:eastAsia="方正仿宋"/>
          <w:color w:val="000000" w:themeColor="text1"/>
          <w:sz w:val="32"/>
          <w:szCs w:val="32"/>
          <w14:textFill>
            <w14:solidFill>
              <w14:schemeClr w14:val="tx1"/>
            </w14:solidFill>
          </w14:textFill>
        </w:rPr>
        <w:t>请的；</w:t>
      </w:r>
    </w:p>
    <w:p w14:paraId="41F7C780">
      <w:pPr>
        <w:spacing w:line="600" w:lineRule="exact"/>
        <w:ind w:firstLine="640" w:firstLineChars="200"/>
        <w:rPr>
          <w:rFonts w:eastAsia="方正仿宋"/>
          <w:color w:val="000000" w:themeColor="text1"/>
          <w:sz w:val="32"/>
          <w:szCs w:val="32"/>
          <w14:textFill>
            <w14:solidFill>
              <w14:schemeClr w14:val="tx1"/>
            </w14:solidFill>
          </w14:textFill>
        </w:rPr>
      </w:pPr>
      <w:r>
        <w:rPr>
          <w:rFonts w:eastAsia="方正仿宋"/>
          <w:color w:val="000000" w:themeColor="text1"/>
          <w:sz w:val="32"/>
          <w:szCs w:val="32"/>
          <w14:textFill>
            <w14:solidFill>
              <w14:schemeClr w14:val="tx1"/>
            </w14:solidFill>
          </w14:textFill>
        </w:rPr>
        <w:t>8.未领取烟草专卖零售许可证经营烟草专卖品业务，并且一年内被执法机关处罚两次以上，在三年内申请领取烟草专卖零售许可证的；</w:t>
      </w:r>
    </w:p>
    <w:p w14:paraId="025C8EA5">
      <w:pPr>
        <w:spacing w:line="600" w:lineRule="exact"/>
        <w:ind w:firstLine="640" w:firstLineChars="200"/>
        <w:rPr>
          <w:rFonts w:eastAsia="方正仿宋"/>
          <w:color w:val="000000" w:themeColor="text1"/>
          <w:sz w:val="32"/>
          <w:szCs w:val="32"/>
          <w14:textFill>
            <w14:solidFill>
              <w14:schemeClr w14:val="tx1"/>
            </w14:solidFill>
          </w14:textFill>
        </w:rPr>
      </w:pPr>
      <w:r>
        <w:rPr>
          <w:rFonts w:eastAsia="方正仿宋"/>
          <w:color w:val="000000" w:themeColor="text1"/>
          <w:sz w:val="32"/>
          <w:szCs w:val="32"/>
          <w14:textFill>
            <w14:solidFill>
              <w14:schemeClr w14:val="tx1"/>
            </w14:solidFill>
          </w14:textFill>
        </w:rPr>
        <w:t>9.未领取烟草专卖零售许可证经营烟草制品业务被追究刑事责任，在三年内申请领取烟草专卖零售许可证的。</w:t>
      </w:r>
    </w:p>
    <w:p w14:paraId="317394C8">
      <w:pPr>
        <w:spacing w:line="600" w:lineRule="exact"/>
        <w:ind w:firstLine="640" w:firstLineChars="200"/>
        <w:rPr>
          <w:rFonts w:eastAsia="方正仿宋"/>
          <w:color w:val="000000" w:themeColor="text1"/>
          <w:sz w:val="32"/>
          <w:szCs w:val="32"/>
          <w14:textFill>
            <w14:solidFill>
              <w14:schemeClr w14:val="tx1"/>
            </w14:solidFill>
          </w14:textFill>
        </w:rPr>
      </w:pPr>
      <w:r>
        <w:rPr>
          <w:rFonts w:eastAsia="方正仿宋"/>
          <w:color w:val="000000" w:themeColor="text1"/>
          <w:sz w:val="32"/>
          <w:szCs w:val="32"/>
          <w14:textFill>
            <w14:solidFill>
              <w14:schemeClr w14:val="tx1"/>
            </w14:solidFill>
          </w14:textFill>
        </w:rPr>
        <w:t>（二）经营场所方面：</w:t>
      </w:r>
    </w:p>
    <w:p w14:paraId="0C9A5A8C">
      <w:pPr>
        <w:spacing w:line="600" w:lineRule="exact"/>
        <w:ind w:firstLine="640" w:firstLineChars="200"/>
        <w:rPr>
          <w:rFonts w:eastAsia="方正仿宋"/>
          <w:color w:val="000000" w:themeColor="text1"/>
          <w:sz w:val="32"/>
          <w:szCs w:val="32"/>
          <w14:textFill>
            <w14:solidFill>
              <w14:schemeClr w14:val="tx1"/>
            </w14:solidFill>
          </w14:textFill>
        </w:rPr>
      </w:pPr>
      <w:r>
        <w:rPr>
          <w:rFonts w:eastAsia="方正仿宋"/>
          <w:color w:val="000000" w:themeColor="text1"/>
          <w:sz w:val="32"/>
          <w:szCs w:val="32"/>
          <w14:textFill>
            <w14:solidFill>
              <w14:schemeClr w14:val="tx1"/>
            </w14:solidFill>
          </w14:textFill>
        </w:rPr>
        <w:t>1.无固定经营场所的，包括但不限于：简易搭盖、临时建筑，流动性摊、点、车、棚、亭等，以及占用公共资源、公共设施等无合法使用证明的经营场所；</w:t>
      </w:r>
    </w:p>
    <w:p w14:paraId="20132A52">
      <w:pPr>
        <w:spacing w:line="600" w:lineRule="exact"/>
        <w:ind w:firstLine="640" w:firstLineChars="200"/>
        <w:rPr>
          <w:rFonts w:eastAsia="方正仿宋"/>
          <w:color w:val="000000" w:themeColor="text1"/>
          <w:kern w:val="0"/>
          <w:sz w:val="32"/>
          <w:szCs w:val="32"/>
          <w14:textFill>
            <w14:solidFill>
              <w14:schemeClr w14:val="tx1"/>
            </w14:solidFill>
          </w14:textFill>
        </w:rPr>
      </w:pPr>
      <w:r>
        <w:rPr>
          <w:rFonts w:eastAsia="方正仿宋"/>
          <w:color w:val="000000" w:themeColor="text1"/>
          <w:sz w:val="32"/>
          <w:szCs w:val="32"/>
          <w14:textFill>
            <w14:solidFill>
              <w14:schemeClr w14:val="tx1"/>
            </w14:solidFill>
          </w14:textFill>
        </w:rPr>
        <w:t>2.经营场所与住所不相独立的，</w:t>
      </w:r>
      <w:r>
        <w:rPr>
          <w:rFonts w:eastAsia="方正仿宋"/>
          <w:color w:val="000000" w:themeColor="text1"/>
          <w:kern w:val="0"/>
          <w:sz w:val="32"/>
          <w:szCs w:val="32"/>
          <w14:textFill>
            <w14:solidFill>
              <w14:schemeClr w14:val="tx1"/>
            </w14:solidFill>
          </w14:textFill>
        </w:rPr>
        <w:t>无法明确划分的，包括但不限于经营场所为住所的客厅、餐厅、卧室、阳台、地下室、储藏室等未对消费者全开放的场所；</w:t>
      </w:r>
    </w:p>
    <w:p w14:paraId="36E767CA">
      <w:pPr>
        <w:spacing w:line="600" w:lineRule="exact"/>
        <w:ind w:firstLine="640" w:firstLineChars="200"/>
        <w:rPr>
          <w:rFonts w:eastAsia="方正仿宋"/>
          <w:color w:val="000000" w:themeColor="text1"/>
          <w:kern w:val="0"/>
          <w:sz w:val="32"/>
          <w:szCs w:val="32"/>
          <w14:textFill>
            <w14:solidFill>
              <w14:schemeClr w14:val="tx1"/>
            </w14:solidFill>
          </w14:textFill>
        </w:rPr>
      </w:pPr>
      <w:r>
        <w:rPr>
          <w:rFonts w:eastAsia="方正仿宋"/>
          <w:color w:val="000000" w:themeColor="text1"/>
          <w:kern w:val="0"/>
          <w:sz w:val="32"/>
          <w:szCs w:val="32"/>
          <w14:textFill>
            <w14:solidFill>
              <w14:schemeClr w14:val="tx1"/>
            </w14:solidFill>
          </w14:textFill>
        </w:rPr>
        <w:t>3.正在修建、尚未完工的建筑物，已完工但未取得当地住房和城乡建设局提供的《四川省房屋建筑和市政基础设施工程竣工验收备案书》的建筑物，属于“保交楼”项目但未取得政府相关部门出具的相关证明材料的建筑物；</w:t>
      </w:r>
    </w:p>
    <w:p w14:paraId="65088CE0">
      <w:pPr>
        <w:spacing w:line="600" w:lineRule="exact"/>
        <w:ind w:firstLine="640" w:firstLineChars="200"/>
        <w:rPr>
          <w:rFonts w:eastAsia="方正仿宋"/>
          <w:color w:val="000000" w:themeColor="text1"/>
          <w:sz w:val="32"/>
          <w:szCs w:val="32"/>
          <w14:textFill>
            <w14:solidFill>
              <w14:schemeClr w14:val="tx1"/>
            </w14:solidFill>
          </w14:textFill>
        </w:rPr>
      </w:pPr>
      <w:r>
        <w:rPr>
          <w:rFonts w:eastAsia="方正仿宋"/>
          <w:color w:val="000000" w:themeColor="text1"/>
          <w:sz w:val="32"/>
          <w:szCs w:val="32"/>
          <w14:textFill>
            <w14:solidFill>
              <w14:schemeClr w14:val="tx1"/>
            </w14:solidFill>
          </w14:textFill>
        </w:rPr>
        <w:t>4.同一经营场所已经办理了烟草专卖零售许可证且在有效期内的；</w:t>
      </w:r>
    </w:p>
    <w:p w14:paraId="382ACD61">
      <w:pPr>
        <w:spacing w:line="600" w:lineRule="exact"/>
        <w:ind w:firstLine="640" w:firstLineChars="200"/>
        <w:rPr>
          <w:rFonts w:eastAsia="方正仿宋"/>
          <w:color w:val="000000" w:themeColor="text1"/>
          <w:sz w:val="32"/>
          <w:szCs w:val="32"/>
          <w14:textFill>
            <w14:solidFill>
              <w14:schemeClr w14:val="tx1"/>
            </w14:solidFill>
          </w14:textFill>
        </w:rPr>
      </w:pPr>
      <w:r>
        <w:rPr>
          <w:rFonts w:eastAsia="方正仿宋"/>
          <w:color w:val="000000" w:themeColor="text1"/>
          <w:sz w:val="32"/>
          <w:szCs w:val="32"/>
          <w14:textFill>
            <w14:solidFill>
              <w14:schemeClr w14:val="tx1"/>
            </w14:solidFill>
          </w14:textFill>
        </w:rPr>
        <w:t>5.经营场所存在安全隐患且不具备安全措施保障，不适宜经营卷烟的，包括但不限于经营或存放有毒有害、易燃易爆、放射性物品等容易造成卷烟污染的场所；</w:t>
      </w:r>
    </w:p>
    <w:p w14:paraId="6DBDB6B9">
      <w:pPr>
        <w:spacing w:line="600" w:lineRule="exact"/>
        <w:ind w:firstLine="640" w:firstLineChars="200"/>
        <w:rPr>
          <w:rFonts w:eastAsia="方正仿宋"/>
          <w:color w:val="000000" w:themeColor="text1"/>
          <w:sz w:val="32"/>
          <w:szCs w:val="32"/>
          <w14:textFill>
            <w14:solidFill>
              <w14:schemeClr w14:val="tx1"/>
            </w14:solidFill>
          </w14:textFill>
        </w:rPr>
      </w:pPr>
      <w:r>
        <w:rPr>
          <w:rFonts w:eastAsia="方正仿宋"/>
          <w:color w:val="000000" w:themeColor="text1"/>
          <w:sz w:val="32"/>
          <w:szCs w:val="32"/>
          <w14:textFill>
            <w14:solidFill>
              <w14:schemeClr w14:val="tx1"/>
            </w14:solidFill>
          </w14:textFill>
        </w:rPr>
        <w:t>（三）经营模式方面：</w:t>
      </w:r>
    </w:p>
    <w:p w14:paraId="43E3A33A">
      <w:pPr>
        <w:spacing w:line="600" w:lineRule="exact"/>
        <w:ind w:firstLine="640" w:firstLineChars="200"/>
        <w:rPr>
          <w:rFonts w:eastAsia="方正仿宋"/>
          <w:color w:val="000000" w:themeColor="text1"/>
          <w:sz w:val="32"/>
          <w:szCs w:val="32"/>
          <w14:textFill>
            <w14:solidFill>
              <w14:schemeClr w14:val="tx1"/>
            </w14:solidFill>
          </w14:textFill>
        </w:rPr>
      </w:pPr>
      <w:r>
        <w:rPr>
          <w:rFonts w:eastAsia="方正仿宋"/>
          <w:color w:val="000000" w:themeColor="text1"/>
          <w:sz w:val="32"/>
          <w:szCs w:val="32"/>
          <w14:textFill>
            <w14:solidFill>
              <w14:schemeClr w14:val="tx1"/>
            </w14:solidFill>
          </w14:textFill>
        </w:rPr>
        <w:t>1.通过涉烟自动售货机（柜）、无人超市、电玩游戏机等自动售货形式，销售或者变相销售烟草制品的；</w:t>
      </w:r>
    </w:p>
    <w:p w14:paraId="54129547">
      <w:pPr>
        <w:spacing w:line="600" w:lineRule="exact"/>
        <w:ind w:firstLine="640" w:firstLineChars="200"/>
        <w:rPr>
          <w:rFonts w:eastAsia="方正仿宋"/>
          <w:color w:val="000000" w:themeColor="text1"/>
          <w:sz w:val="32"/>
          <w:szCs w:val="32"/>
          <w14:textFill>
            <w14:solidFill>
              <w14:schemeClr w14:val="tx1"/>
            </w14:solidFill>
          </w14:textFill>
        </w:rPr>
      </w:pPr>
      <w:r>
        <w:rPr>
          <w:rFonts w:eastAsia="方正仿宋"/>
          <w:color w:val="000000" w:themeColor="text1"/>
          <w:sz w:val="32"/>
          <w:szCs w:val="32"/>
          <w14:textFill>
            <w14:solidFill>
              <w14:schemeClr w14:val="tx1"/>
            </w14:solidFill>
          </w14:textFill>
        </w:rPr>
        <w:t>2.利用信息网络渠道销售卷烟。</w:t>
      </w:r>
    </w:p>
    <w:p w14:paraId="7B4CEB28">
      <w:pPr>
        <w:spacing w:line="600" w:lineRule="exact"/>
        <w:ind w:firstLine="640" w:firstLineChars="200"/>
        <w:rPr>
          <w:rFonts w:eastAsia="方正仿宋"/>
          <w:color w:val="000000" w:themeColor="text1"/>
          <w:sz w:val="32"/>
          <w:szCs w:val="32"/>
          <w14:textFill>
            <w14:solidFill>
              <w14:schemeClr w14:val="tx1"/>
            </w14:solidFill>
          </w14:textFill>
        </w:rPr>
      </w:pPr>
      <w:r>
        <w:rPr>
          <w:rFonts w:eastAsia="方正仿宋"/>
          <w:color w:val="000000" w:themeColor="text1"/>
          <w:sz w:val="32"/>
          <w:szCs w:val="32"/>
          <w14:textFill>
            <w14:solidFill>
              <w14:schemeClr w14:val="tx1"/>
            </w14:solidFill>
          </w14:textFill>
        </w:rPr>
        <w:t>（四）特殊区域：</w:t>
      </w:r>
    </w:p>
    <w:p w14:paraId="43DD3792">
      <w:pPr>
        <w:spacing w:line="600" w:lineRule="exact"/>
        <w:ind w:firstLine="640" w:firstLineChars="200"/>
        <w:rPr>
          <w:rFonts w:eastAsia="方正仿宋"/>
          <w:color w:val="000000" w:themeColor="text1"/>
          <w:sz w:val="32"/>
          <w:szCs w:val="32"/>
          <w14:textFill>
            <w14:solidFill>
              <w14:schemeClr w14:val="tx1"/>
            </w14:solidFill>
          </w14:textFill>
        </w:rPr>
      </w:pPr>
      <w:r>
        <w:rPr>
          <w:rFonts w:eastAsia="方正仿宋"/>
          <w:color w:val="000000" w:themeColor="text1"/>
          <w:sz w:val="32"/>
          <w:szCs w:val="32"/>
          <w14:textFill>
            <w14:solidFill>
              <w14:schemeClr w14:val="tx1"/>
            </w14:solidFill>
          </w14:textFill>
        </w:rPr>
        <w:t>1.中小学内部、周围与学校</w:t>
      </w:r>
      <w:r>
        <w:rPr>
          <w:rFonts w:eastAsia="方正仿宋"/>
          <w:color w:val="000000" w:themeColor="text1"/>
          <w:kern w:val="0"/>
          <w:sz w:val="32"/>
          <w:szCs w:val="32"/>
          <w14:textFill>
            <w14:solidFill>
              <w14:schemeClr w14:val="tx1"/>
            </w14:solidFill>
          </w14:textFill>
        </w:rPr>
        <w:t>进出通道口</w:t>
      </w:r>
      <w:r>
        <w:rPr>
          <w:rFonts w:eastAsia="方正仿宋"/>
          <w:color w:val="000000" w:themeColor="text1"/>
          <w:sz w:val="32"/>
          <w:szCs w:val="32"/>
          <w14:textFill>
            <w14:solidFill>
              <w14:schemeClr w14:val="tx1"/>
            </w14:solidFill>
          </w14:textFill>
        </w:rPr>
        <w:t>距离在50米以内的；</w:t>
      </w:r>
    </w:p>
    <w:p w14:paraId="2AFB19B4">
      <w:pPr>
        <w:spacing w:line="600" w:lineRule="exact"/>
        <w:ind w:firstLine="640" w:firstLineChars="200"/>
        <w:rPr>
          <w:rFonts w:eastAsia="方正仿宋"/>
          <w:color w:val="000000" w:themeColor="text1"/>
          <w:sz w:val="32"/>
          <w:szCs w:val="32"/>
          <w14:textFill>
            <w14:solidFill>
              <w14:schemeClr w14:val="tx1"/>
            </w14:solidFill>
          </w14:textFill>
        </w:rPr>
      </w:pPr>
      <w:r>
        <w:rPr>
          <w:rFonts w:eastAsia="方正仿宋"/>
          <w:color w:val="000000" w:themeColor="text1"/>
          <w:kern w:val="0"/>
          <w:sz w:val="32"/>
          <w:szCs w:val="32"/>
          <w14:textFill>
            <w14:solidFill>
              <w14:schemeClr w14:val="tx1"/>
            </w14:solidFill>
          </w14:textFill>
        </w:rPr>
        <w:t>2.幼儿园内部、</w:t>
      </w:r>
      <w:r>
        <w:rPr>
          <w:rFonts w:eastAsia="方正仿宋"/>
          <w:color w:val="000000" w:themeColor="text1"/>
          <w:sz w:val="32"/>
          <w:szCs w:val="32"/>
          <w14:textFill>
            <w14:solidFill>
              <w14:schemeClr w14:val="tx1"/>
            </w14:solidFill>
          </w14:textFill>
        </w:rPr>
        <w:t>周围与幼儿园进出通道口距离在50米以内的；</w:t>
      </w:r>
    </w:p>
    <w:p w14:paraId="76947C8B">
      <w:pPr>
        <w:spacing w:line="600" w:lineRule="exact"/>
        <w:ind w:firstLine="640" w:firstLineChars="200"/>
        <w:rPr>
          <w:rFonts w:eastAsia="方正仿宋"/>
          <w:color w:val="000000" w:themeColor="text1"/>
          <w:sz w:val="32"/>
          <w:szCs w:val="32"/>
          <w14:textFill>
            <w14:solidFill>
              <w14:schemeClr w14:val="tx1"/>
            </w14:solidFill>
          </w14:textFill>
        </w:rPr>
      </w:pPr>
      <w:r>
        <w:rPr>
          <w:rFonts w:eastAsia="方正仿宋"/>
          <w:color w:val="000000" w:themeColor="text1"/>
          <w:sz w:val="32"/>
          <w:szCs w:val="32"/>
          <w14:textFill>
            <w14:solidFill>
              <w14:schemeClr w14:val="tx1"/>
            </w14:solidFill>
          </w14:textFill>
        </w:rPr>
        <w:t>3.拟拆迁房屋、危房（以政府公示公告为准）；</w:t>
      </w:r>
    </w:p>
    <w:p w14:paraId="63B729CF">
      <w:pPr>
        <w:spacing w:line="600" w:lineRule="exact"/>
        <w:ind w:firstLine="640" w:firstLineChars="200"/>
        <w:rPr>
          <w:rFonts w:eastAsia="方正仿宋"/>
          <w:color w:val="000000" w:themeColor="text1"/>
          <w:sz w:val="32"/>
          <w:szCs w:val="32"/>
          <w14:textFill>
            <w14:solidFill>
              <w14:schemeClr w14:val="tx1"/>
            </w14:solidFill>
          </w14:textFill>
        </w:rPr>
      </w:pPr>
      <w:r>
        <w:rPr>
          <w:rFonts w:eastAsia="方正仿宋"/>
          <w:color w:val="000000" w:themeColor="text1"/>
          <w:sz w:val="32"/>
          <w:szCs w:val="32"/>
          <w14:textFill>
            <w14:solidFill>
              <w14:schemeClr w14:val="tx1"/>
            </w14:solidFill>
          </w14:textFill>
        </w:rPr>
        <w:t>4.政府明令禁止经营卷烟类商品的区域。</w:t>
      </w:r>
    </w:p>
    <w:p w14:paraId="5BC46D23">
      <w:pPr>
        <w:spacing w:line="600" w:lineRule="exact"/>
        <w:ind w:firstLine="640" w:firstLineChars="200"/>
        <w:rPr>
          <w:rFonts w:eastAsia="方正仿宋"/>
          <w:color w:val="000000" w:themeColor="text1"/>
          <w:sz w:val="32"/>
          <w:szCs w:val="32"/>
          <w14:textFill>
            <w14:solidFill>
              <w14:schemeClr w14:val="tx1"/>
            </w14:solidFill>
          </w14:textFill>
        </w:rPr>
      </w:pPr>
      <w:r>
        <w:rPr>
          <w:rFonts w:eastAsia="方正仿宋"/>
          <w:color w:val="000000" w:themeColor="text1"/>
          <w:sz w:val="32"/>
          <w:szCs w:val="32"/>
          <w14:textFill>
            <w14:solidFill>
              <w14:schemeClr w14:val="tx1"/>
            </w14:solidFill>
          </w14:textFill>
        </w:rPr>
        <w:t>（五）其他方面：</w:t>
      </w:r>
    </w:p>
    <w:p w14:paraId="62FD6BF5">
      <w:pPr>
        <w:spacing w:line="600" w:lineRule="exact"/>
        <w:ind w:firstLine="640" w:firstLineChars="200"/>
        <w:rPr>
          <w:rFonts w:eastAsia="方正仿宋"/>
          <w:color w:val="000000" w:themeColor="text1"/>
          <w:sz w:val="32"/>
          <w:szCs w:val="32"/>
          <w14:textFill>
            <w14:solidFill>
              <w14:schemeClr w14:val="tx1"/>
            </w14:solidFill>
          </w14:textFill>
        </w:rPr>
      </w:pPr>
      <w:r>
        <w:rPr>
          <w:rFonts w:eastAsia="方正仿宋"/>
          <w:color w:val="000000" w:themeColor="text1"/>
          <w:sz w:val="32"/>
          <w:szCs w:val="32"/>
          <w14:textFill>
            <w14:solidFill>
              <w14:schemeClr w14:val="tx1"/>
            </w14:solidFill>
          </w14:textFill>
        </w:rPr>
        <w:t>1.零售点数量已达到所在市场单元合理布局规定容量上限的；</w:t>
      </w:r>
      <w:bookmarkStart w:id="5" w:name="_Hlk187737777"/>
    </w:p>
    <w:p w14:paraId="56FA8DA5">
      <w:pPr>
        <w:spacing w:line="600" w:lineRule="exact"/>
        <w:ind w:firstLine="640" w:firstLineChars="200"/>
        <w:jc w:val="left"/>
        <w:rPr>
          <w:rFonts w:eastAsia="方正仿宋"/>
          <w:color w:val="000000" w:themeColor="text1"/>
          <w:sz w:val="32"/>
          <w:szCs w:val="32"/>
          <w14:textFill>
            <w14:solidFill>
              <w14:schemeClr w14:val="tx1"/>
            </w14:solidFill>
          </w14:textFill>
        </w:rPr>
      </w:pPr>
      <w:r>
        <w:rPr>
          <w:rFonts w:eastAsia="方正仿宋"/>
          <w:color w:val="000000" w:themeColor="text1"/>
          <w:sz w:val="32"/>
          <w:szCs w:val="32"/>
          <w14:textFill>
            <w14:solidFill>
              <w14:schemeClr w14:val="tx1"/>
            </w14:solidFill>
          </w14:textFill>
        </w:rPr>
        <w:t xml:space="preserve">2.法律、法规、规章等规定的其他不予发放烟草专卖零售许可证的情形。                                                                                                                                                                                                                                                                                                                                       </w:t>
      </w:r>
    </w:p>
    <w:bookmarkEnd w:id="5"/>
    <w:p w14:paraId="236C5216">
      <w:pPr>
        <w:spacing w:line="600" w:lineRule="exact"/>
        <w:jc w:val="center"/>
        <w:rPr>
          <w:rFonts w:eastAsia="方正仿宋"/>
          <w:bCs/>
          <w:color w:val="000000"/>
          <w:kern w:val="0"/>
          <w:sz w:val="32"/>
          <w:szCs w:val="32"/>
        </w:rPr>
      </w:pPr>
      <w:r>
        <w:rPr>
          <w:rFonts w:eastAsia="方正仿宋"/>
          <w:bCs/>
          <w:color w:val="000000"/>
          <w:kern w:val="0"/>
          <w:sz w:val="32"/>
          <w:szCs w:val="32"/>
        </w:rPr>
        <w:t>第三章 术语解释</w:t>
      </w:r>
    </w:p>
    <w:p w14:paraId="104B59C4">
      <w:pPr>
        <w:numPr>
          <w:ilvl w:val="0"/>
          <w:numId w:val="6"/>
        </w:numPr>
        <w:spacing w:line="600" w:lineRule="exact"/>
        <w:ind w:firstLine="640" w:firstLineChars="200"/>
        <w:rPr>
          <w:rFonts w:eastAsia="方正仿宋"/>
          <w:color w:val="000000" w:themeColor="text1"/>
          <w:kern w:val="0"/>
          <w:sz w:val="32"/>
          <w:szCs w:val="32"/>
          <w14:textFill>
            <w14:solidFill>
              <w14:schemeClr w14:val="tx1"/>
            </w14:solidFill>
          </w14:textFill>
        </w:rPr>
      </w:pPr>
      <w:r>
        <w:rPr>
          <w:rFonts w:eastAsia="方正仿宋"/>
          <w:color w:val="000000" w:themeColor="text1"/>
          <w:kern w:val="0"/>
          <w:sz w:val="32"/>
          <w:szCs w:val="32"/>
          <w14:textFill>
            <w14:solidFill>
              <w14:schemeClr w14:val="tx1"/>
            </w14:solidFill>
          </w14:textFill>
        </w:rPr>
        <w:t>术语解释及说明</w:t>
      </w:r>
    </w:p>
    <w:p w14:paraId="649623BA">
      <w:pPr>
        <w:numPr>
          <w:ilvl w:val="0"/>
          <w:numId w:val="7"/>
        </w:numPr>
        <w:spacing w:line="600" w:lineRule="exact"/>
        <w:ind w:firstLine="640" w:firstLineChars="200"/>
        <w:rPr>
          <w:rFonts w:eastAsia="方正仿宋"/>
          <w:color w:val="000000" w:themeColor="text1"/>
          <w:sz w:val="32"/>
          <w:szCs w:val="32"/>
          <w14:textFill>
            <w14:solidFill>
              <w14:schemeClr w14:val="tx1"/>
            </w14:solidFill>
          </w14:textFill>
        </w:rPr>
      </w:pPr>
      <w:r>
        <w:rPr>
          <w:rFonts w:eastAsia="方正仿宋"/>
          <w:color w:val="000000" w:themeColor="text1"/>
          <w:sz w:val="32"/>
          <w:szCs w:val="32"/>
          <w14:textFill>
            <w14:solidFill>
              <w14:schemeClr w14:val="tx1"/>
            </w14:solidFill>
          </w14:textFill>
        </w:rPr>
        <w:t>新建商业综合体：新建商业综合体是指新建的含零售、餐饮、娱乐、办公、居住、酒店、会展、文化</w:t>
      </w:r>
      <w:r>
        <w:rPr>
          <w:rFonts w:eastAsia="MS Gothic"/>
          <w:color w:val="000000" w:themeColor="text1"/>
          <w:sz w:val="32"/>
          <w:szCs w:val="32"/>
          <w14:textFill>
            <w14:solidFill>
              <w14:schemeClr w14:val="tx1"/>
            </w14:solidFill>
          </w14:textFill>
        </w:rPr>
        <w:t>‌</w:t>
      </w:r>
      <w:r>
        <w:rPr>
          <w:rFonts w:eastAsia="方正仿宋"/>
          <w:color w:val="000000" w:themeColor="text1"/>
          <w:sz w:val="32"/>
          <w:szCs w:val="32"/>
          <w14:textFill>
            <w14:solidFill>
              <w14:schemeClr w14:val="tx1"/>
            </w14:solidFill>
          </w14:textFill>
        </w:rPr>
        <w:t>等</w:t>
      </w:r>
      <w:r>
        <w:rPr>
          <w:rFonts w:eastAsia="MS Gothic"/>
          <w:color w:val="000000" w:themeColor="text1"/>
          <w:sz w:val="32"/>
          <w:szCs w:val="32"/>
          <w14:textFill>
            <w14:solidFill>
              <w14:schemeClr w14:val="tx1"/>
            </w14:solidFill>
          </w14:textFill>
        </w:rPr>
        <w:t>‌</w:t>
      </w:r>
      <w:r>
        <w:rPr>
          <w:rFonts w:eastAsia="方正仿宋"/>
          <w:color w:val="000000" w:themeColor="text1"/>
          <w:sz w:val="32"/>
          <w:szCs w:val="32"/>
          <w14:textFill>
            <w14:solidFill>
              <w14:schemeClr w14:val="tx1"/>
            </w14:solidFill>
          </w14:textFill>
        </w:rPr>
        <w:t>三项及以上功能的建筑。</w:t>
      </w:r>
    </w:p>
    <w:p w14:paraId="50FCC59E">
      <w:pPr>
        <w:numPr>
          <w:ilvl w:val="0"/>
          <w:numId w:val="7"/>
        </w:numPr>
        <w:spacing w:line="600" w:lineRule="exact"/>
        <w:ind w:firstLine="640" w:firstLineChars="200"/>
        <w:rPr>
          <w:rFonts w:eastAsia="方正仿宋"/>
          <w:color w:val="000000" w:themeColor="text1"/>
          <w:kern w:val="0"/>
          <w:sz w:val="32"/>
          <w:szCs w:val="32"/>
          <w14:textFill>
            <w14:solidFill>
              <w14:schemeClr w14:val="tx1"/>
            </w14:solidFill>
          </w14:textFill>
        </w:rPr>
      </w:pPr>
      <w:r>
        <w:rPr>
          <w:rFonts w:eastAsia="方正仿宋"/>
          <w:color w:val="000000" w:themeColor="text1"/>
          <w:kern w:val="0"/>
          <w:sz w:val="32"/>
          <w:szCs w:val="32"/>
          <w14:textFill>
            <w14:solidFill>
              <w14:schemeClr w14:val="tx1"/>
            </w14:solidFill>
          </w14:textFill>
        </w:rPr>
        <w:t>“营业面积”：是指经营场所房产证明载明的套内建筑面积（包括房产证、不动产权证、已备案的购房合同）或职能部门、有资质的三方机构出具的书面证明载明的面积，房屋所建夹层、仓库、院坝、池塘等面积不纳入营业面积范畴。房产证明面积模糊不清、无法认定的，以2名以上烟草专卖管理人员实地勘验核查的面积为准。</w:t>
      </w:r>
    </w:p>
    <w:p w14:paraId="0ED01BDA">
      <w:pPr>
        <w:spacing w:line="600" w:lineRule="exact"/>
        <w:ind w:firstLine="640" w:firstLineChars="200"/>
        <w:rPr>
          <w:rFonts w:eastAsia="方正仿宋"/>
          <w:color w:val="000000" w:themeColor="text1"/>
          <w:kern w:val="0"/>
          <w:sz w:val="32"/>
          <w:szCs w:val="32"/>
          <w14:textFill>
            <w14:solidFill>
              <w14:schemeClr w14:val="tx1"/>
            </w14:solidFill>
          </w14:textFill>
        </w:rPr>
      </w:pPr>
      <w:r>
        <w:rPr>
          <w:rFonts w:eastAsia="方正仿宋"/>
          <w:color w:val="000000" w:themeColor="text1"/>
          <w:sz w:val="32"/>
          <w:szCs w:val="32"/>
          <w14:textFill>
            <w14:solidFill>
              <w14:schemeClr w14:val="tx1"/>
            </w14:solidFill>
          </w14:textFill>
        </w:rPr>
        <w:t>（三）新兴市场：是指经县（区）级以上人民政府或商务主管部门认定，以集中交易农副产品、日用百货、服装鞋帽、家具建材等商品为主要功能，实行统一运营管理，且建筑面积达到5000平方米以上的新建规模化交易市场。新兴市场的认定以政府相关批复文件、备案证明或商务主管部门出具的书面意见为准。</w:t>
      </w:r>
    </w:p>
    <w:p w14:paraId="2D3EDA2B">
      <w:pPr>
        <w:spacing w:line="600" w:lineRule="exact"/>
        <w:ind w:firstLine="640" w:firstLineChars="200"/>
        <w:rPr>
          <w:rFonts w:hint="eastAsia" w:eastAsia="方正仿宋"/>
          <w:color w:val="000000" w:themeColor="text1"/>
          <w:sz w:val="32"/>
          <w:szCs w:val="32"/>
          <w14:textFill>
            <w14:solidFill>
              <w14:schemeClr w14:val="tx1"/>
            </w14:solidFill>
          </w14:textFill>
        </w:rPr>
      </w:pPr>
      <w:r>
        <w:rPr>
          <w:rFonts w:hint="eastAsia" w:eastAsia="方正仿宋"/>
          <w:color w:val="000000" w:themeColor="text1"/>
          <w:sz w:val="32"/>
          <w:szCs w:val="32"/>
          <w14:textFill>
            <w14:solidFill>
              <w14:schemeClr w14:val="tx1"/>
            </w14:solidFill>
          </w14:textFill>
        </w:rPr>
        <w:t>（四）本规定中的“三属”是指烈士遗属、因公牺牲军人遗属、病故军人遗属。</w:t>
      </w:r>
    </w:p>
    <w:p w14:paraId="6367900F">
      <w:pPr>
        <w:spacing w:line="600" w:lineRule="exact"/>
        <w:ind w:firstLine="640" w:firstLineChars="200"/>
        <w:rPr>
          <w:rFonts w:eastAsia="方正仿宋"/>
          <w:color w:val="000000" w:themeColor="text1"/>
          <w:kern w:val="0"/>
          <w:sz w:val="32"/>
          <w:szCs w:val="32"/>
          <w14:textFill>
            <w14:solidFill>
              <w14:schemeClr w14:val="tx1"/>
            </w14:solidFill>
          </w14:textFill>
        </w:rPr>
      </w:pPr>
      <w:r>
        <w:rPr>
          <w:rFonts w:eastAsia="方正仿宋"/>
          <w:color w:val="000000" w:themeColor="text1"/>
          <w:kern w:val="0"/>
          <w:sz w:val="32"/>
          <w:szCs w:val="32"/>
          <w14:textFill>
            <w14:solidFill>
              <w14:schemeClr w14:val="tx1"/>
            </w14:solidFill>
          </w14:textFill>
        </w:rPr>
        <w:t>（五）本规定中的“中小学校”，是指普通中小学校、特殊教育学校、中等职业学校、专门学校。本规定中的“幼儿园”是指经教育主管部门认可、具备合法办学资质的幼儿园。中小学、幼儿园进出口通道是指中小学、幼儿园供行人、车辆进出等通道口，包括：主校门、侧门、后门、教职工通道门、后勤通道门、消防通道门、应急通道门、垃圾通道门，以及常年关闭的边门等可与该中小学、幼儿园连通的所有通道门。</w:t>
      </w:r>
      <w:r>
        <w:rPr>
          <w:rFonts w:eastAsia="MS Gothic"/>
          <w:color w:val="000000" w:themeColor="text1"/>
          <w:sz w:val="32"/>
          <w:szCs w:val="32"/>
          <w14:textFill>
            <w14:solidFill>
              <w14:schemeClr w14:val="tx1"/>
            </w14:solidFill>
          </w14:textFill>
        </w:rPr>
        <w:t>‌</w:t>
      </w:r>
    </w:p>
    <w:p w14:paraId="09EAE1DC">
      <w:pPr>
        <w:spacing w:line="600" w:lineRule="exact"/>
        <w:ind w:firstLine="640" w:firstLineChars="200"/>
        <w:rPr>
          <w:rFonts w:eastAsia="方正仿宋"/>
          <w:color w:val="000000" w:themeColor="text1"/>
          <w:kern w:val="0"/>
          <w:sz w:val="32"/>
          <w:szCs w:val="32"/>
          <w14:textFill>
            <w14:solidFill>
              <w14:schemeClr w14:val="tx1"/>
            </w14:solidFill>
          </w14:textFill>
        </w:rPr>
      </w:pPr>
      <w:r>
        <w:rPr>
          <w:rFonts w:eastAsia="方正仿宋"/>
          <w:color w:val="000000" w:themeColor="text1"/>
          <w:kern w:val="0"/>
          <w:sz w:val="32"/>
          <w:szCs w:val="32"/>
          <w14:textFill>
            <w14:solidFill>
              <w14:schemeClr w14:val="tx1"/>
            </w14:solidFill>
          </w14:textFill>
        </w:rPr>
        <w:t>（六）本规定中“不少于” “以上” “以内”包含本数。</w:t>
      </w:r>
    </w:p>
    <w:p w14:paraId="5F2DA439">
      <w:pPr>
        <w:spacing w:line="600" w:lineRule="exact"/>
        <w:ind w:firstLine="640" w:firstLineChars="200"/>
        <w:rPr>
          <w:rFonts w:eastAsia="方正仿宋"/>
          <w:color w:val="000000" w:themeColor="text1"/>
          <w:kern w:val="0"/>
          <w:sz w:val="32"/>
          <w:szCs w:val="32"/>
          <w14:textFill>
            <w14:solidFill>
              <w14:schemeClr w14:val="tx1"/>
            </w14:solidFill>
          </w14:textFill>
        </w:rPr>
      </w:pPr>
    </w:p>
    <w:p w14:paraId="51576700">
      <w:pPr>
        <w:numPr>
          <w:ilvl w:val="0"/>
          <w:numId w:val="8"/>
        </w:numPr>
        <w:spacing w:line="600" w:lineRule="exact"/>
        <w:jc w:val="center"/>
        <w:rPr>
          <w:rFonts w:hint="eastAsia" w:ascii="方正黑体" w:eastAsia="方正黑体"/>
          <w:bCs/>
          <w:color w:val="000000"/>
          <w:kern w:val="0"/>
          <w:sz w:val="32"/>
          <w:szCs w:val="32"/>
        </w:rPr>
      </w:pPr>
      <w:r>
        <w:rPr>
          <w:rFonts w:hint="eastAsia" w:ascii="方正黑体" w:eastAsia="方正黑体"/>
          <w:bCs/>
          <w:color w:val="000000"/>
          <w:kern w:val="0"/>
          <w:sz w:val="32"/>
          <w:szCs w:val="32"/>
        </w:rPr>
        <w:t>附则</w:t>
      </w:r>
    </w:p>
    <w:p w14:paraId="7D0B6CDC">
      <w:pPr>
        <w:numPr>
          <w:ilvl w:val="0"/>
          <w:numId w:val="0"/>
        </w:numPr>
        <w:spacing w:line="600" w:lineRule="exact"/>
        <w:jc w:val="both"/>
        <w:rPr>
          <w:rFonts w:hint="eastAsia" w:ascii="方正黑体" w:eastAsia="方正黑体"/>
          <w:bCs/>
          <w:color w:val="000000"/>
          <w:kern w:val="0"/>
          <w:sz w:val="32"/>
          <w:szCs w:val="32"/>
        </w:rPr>
      </w:pPr>
    </w:p>
    <w:p w14:paraId="7F9C6FD3">
      <w:pPr>
        <w:numPr>
          <w:ilvl w:val="0"/>
          <w:numId w:val="6"/>
        </w:numPr>
        <w:spacing w:line="600" w:lineRule="exact"/>
        <w:ind w:firstLine="640" w:firstLineChars="200"/>
        <w:rPr>
          <w:rFonts w:eastAsia="方正仿宋"/>
          <w:bCs/>
          <w:color w:val="000000" w:themeColor="text1"/>
          <w:kern w:val="0"/>
          <w:sz w:val="32"/>
          <w:szCs w:val="32"/>
          <w14:textFill>
            <w14:solidFill>
              <w14:schemeClr w14:val="tx1"/>
            </w14:solidFill>
          </w14:textFill>
        </w:rPr>
      </w:pPr>
      <w:r>
        <w:rPr>
          <w:rFonts w:eastAsia="方正仿宋"/>
          <w:bCs/>
          <w:color w:val="000000" w:themeColor="text1"/>
          <w:kern w:val="0"/>
          <w:sz w:val="32"/>
          <w:szCs w:val="32"/>
          <w14:textFill>
            <w14:solidFill>
              <w14:schemeClr w14:val="tx1"/>
            </w14:solidFill>
          </w14:textFill>
        </w:rPr>
        <w:t>本规定于2026年4月9日起实施，有效期为五年。</w:t>
      </w:r>
    </w:p>
    <w:p w14:paraId="7A7A1BA7">
      <w:pPr>
        <w:spacing w:line="600" w:lineRule="exact"/>
        <w:ind w:firstLine="640" w:firstLineChars="200"/>
        <w:rPr>
          <w:rFonts w:eastAsia="方正仿宋"/>
          <w:color w:val="000000" w:themeColor="text1"/>
          <w:kern w:val="0"/>
          <w:sz w:val="32"/>
          <w:szCs w:val="32"/>
          <w14:textFill>
            <w14:solidFill>
              <w14:schemeClr w14:val="tx1"/>
            </w14:solidFill>
          </w14:textFill>
        </w:rPr>
      </w:pPr>
      <w:r>
        <w:rPr>
          <w:rFonts w:hint="eastAsia" w:ascii="方正楷体" w:eastAsia="方正楷体"/>
          <w:bCs/>
          <w:color w:val="000000" w:themeColor="text1"/>
          <w:kern w:val="0"/>
          <w:sz w:val="32"/>
          <w:szCs w:val="32"/>
          <w14:textFill>
            <w14:solidFill>
              <w14:schemeClr w14:val="tx1"/>
            </w14:solidFill>
          </w14:textFill>
        </w:rPr>
        <w:t>第十六条</w:t>
      </w:r>
      <w:r>
        <w:rPr>
          <w:rFonts w:eastAsia="方正仿宋"/>
          <w:bCs/>
          <w:color w:val="000000" w:themeColor="text1"/>
          <w:kern w:val="0"/>
          <w:sz w:val="32"/>
          <w:szCs w:val="32"/>
          <w14:textFill>
            <w14:solidFill>
              <w14:schemeClr w14:val="tx1"/>
            </w14:solidFill>
          </w14:textFill>
        </w:rPr>
        <w:t xml:space="preserve"> 本规定</w:t>
      </w:r>
      <w:r>
        <w:rPr>
          <w:rFonts w:eastAsia="方正仿宋"/>
          <w:color w:val="000000" w:themeColor="text1"/>
          <w:kern w:val="0"/>
          <w:sz w:val="32"/>
          <w:szCs w:val="32"/>
          <w14:textFill>
            <w14:solidFill>
              <w14:schemeClr w14:val="tx1"/>
            </w14:solidFill>
          </w14:textFill>
        </w:rPr>
        <w:t>由广安市前锋区烟草专卖局负责解释。</w:t>
      </w:r>
    </w:p>
    <w:p w14:paraId="57153B46">
      <w:pPr>
        <w:spacing w:line="600" w:lineRule="exact"/>
        <w:rPr>
          <w:rFonts w:eastAsia="方正仿宋"/>
          <w:color w:val="000000" w:themeColor="text1"/>
          <w:kern w:val="0"/>
          <w:sz w:val="32"/>
          <w:szCs w:val="32"/>
          <w14:textFill>
            <w14:solidFill>
              <w14:schemeClr w14:val="tx1"/>
            </w14:solidFill>
          </w14:textFill>
        </w:rPr>
      </w:pPr>
    </w:p>
    <w:bookmarkEnd w:id="0"/>
    <w:p w14:paraId="1C32119D">
      <w:pPr>
        <w:spacing w:line="600" w:lineRule="exact"/>
        <w:ind w:firstLine="640" w:firstLineChars="200"/>
        <w:rPr>
          <w:rFonts w:hint="eastAsia" w:eastAsia="方正仿宋"/>
          <w:color w:val="000000" w:themeColor="text1"/>
          <w:sz w:val="32"/>
          <w:szCs w:val="32"/>
          <w14:textFill>
            <w14:solidFill>
              <w14:schemeClr w14:val="tx1"/>
            </w14:solidFill>
          </w14:textFill>
        </w:rPr>
      </w:pPr>
      <w:bookmarkStart w:id="6" w:name="attache_title"/>
      <w:r>
        <w:rPr>
          <w:rFonts w:eastAsia="方正仿宋"/>
          <w:color w:val="000000" w:themeColor="text1"/>
          <w:sz w:val="32"/>
          <w:szCs w:val="32"/>
          <w14:textFill>
            <w14:solidFill>
              <w14:schemeClr w14:val="tx1"/>
            </w14:solidFill>
          </w14:textFill>
        </w:rPr>
        <w:t>附件：1.</w:t>
      </w:r>
      <w:r>
        <w:rPr>
          <w:rFonts w:eastAsia="方正仿宋"/>
          <w:color w:val="000000"/>
          <w:sz w:val="32"/>
          <w:szCs w:val="32"/>
        </w:rPr>
        <w:t>广安市</w:t>
      </w:r>
      <w:r>
        <w:rPr>
          <w:rFonts w:eastAsia="方正仿宋"/>
          <w:color w:val="000000" w:themeColor="text1"/>
          <w:sz w:val="32"/>
          <w:szCs w:val="32"/>
          <w14:textFill>
            <w14:solidFill>
              <w14:schemeClr w14:val="tx1"/>
            </w14:solidFill>
          </w14:textFill>
        </w:rPr>
        <w:t>前锋区烟草专卖局关于残疾人、“三属”优待条件的认定标准</w:t>
      </w:r>
    </w:p>
    <w:p w14:paraId="1FEA147A">
      <w:pPr>
        <w:spacing w:line="600" w:lineRule="exact"/>
        <w:ind w:firstLine="1600" w:firstLineChars="500"/>
        <w:rPr>
          <w:rFonts w:hint="eastAsia" w:eastAsia="方正仿宋"/>
          <w:color w:val="000000" w:themeColor="text1"/>
          <w:sz w:val="32"/>
          <w:szCs w:val="32"/>
          <w14:textFill>
            <w14:solidFill>
              <w14:schemeClr w14:val="tx1"/>
            </w14:solidFill>
          </w14:textFill>
        </w:rPr>
      </w:pPr>
      <w:r>
        <w:rPr>
          <w:rFonts w:eastAsia="方正仿宋"/>
          <w:color w:val="000000" w:themeColor="text1"/>
          <w:sz w:val="32"/>
          <w:szCs w:val="32"/>
          <w14:textFill>
            <w14:solidFill>
              <w14:schemeClr w14:val="tx1"/>
            </w14:solidFill>
          </w14:textFill>
        </w:rPr>
        <w:t>2.</w:t>
      </w:r>
      <w:r>
        <w:rPr>
          <w:rFonts w:eastAsia="方正仿宋"/>
          <w:color w:val="000000"/>
          <w:sz w:val="32"/>
          <w:szCs w:val="32"/>
        </w:rPr>
        <w:t>广安市</w:t>
      </w:r>
      <w:r>
        <w:rPr>
          <w:rFonts w:eastAsia="方正仿宋"/>
          <w:color w:val="000000" w:themeColor="text1"/>
          <w:sz w:val="32"/>
          <w:szCs w:val="32"/>
          <w14:textFill>
            <w14:solidFill>
              <w14:schemeClr w14:val="tx1"/>
            </w14:solidFill>
          </w14:textFill>
        </w:rPr>
        <w:t>前锋区烟草专卖局烟草制品零售点勘验标准</w:t>
      </w:r>
    </w:p>
    <w:p w14:paraId="08BA1E63">
      <w:pPr>
        <w:spacing w:line="600" w:lineRule="exact"/>
        <w:ind w:firstLine="1600" w:firstLineChars="500"/>
        <w:rPr>
          <w:rFonts w:hint="eastAsia" w:eastAsia="方正仿宋"/>
          <w:color w:val="000000" w:themeColor="text1"/>
          <w:sz w:val="32"/>
          <w:szCs w:val="32"/>
          <w14:textFill>
            <w14:solidFill>
              <w14:schemeClr w14:val="tx1"/>
            </w14:solidFill>
          </w14:textFill>
        </w:rPr>
      </w:pPr>
      <w:r>
        <w:rPr>
          <w:rFonts w:eastAsia="方正仿宋"/>
          <w:color w:val="000000" w:themeColor="text1"/>
          <w:sz w:val="32"/>
          <w:szCs w:val="32"/>
          <w14:textFill>
            <w14:solidFill>
              <w14:schemeClr w14:val="tx1"/>
            </w14:solidFill>
          </w14:textFill>
        </w:rPr>
        <w:t>3.</w:t>
      </w:r>
      <w:r>
        <w:rPr>
          <w:rFonts w:eastAsia="方正仿宋"/>
          <w:color w:val="000000"/>
          <w:sz w:val="32"/>
          <w:szCs w:val="32"/>
        </w:rPr>
        <w:t>广安市</w:t>
      </w:r>
      <w:r>
        <w:rPr>
          <w:rFonts w:eastAsia="方正仿宋"/>
          <w:color w:val="000000" w:themeColor="text1"/>
          <w:sz w:val="32"/>
          <w:szCs w:val="32"/>
          <w14:textFill>
            <w14:solidFill>
              <w14:schemeClr w14:val="tx1"/>
            </w14:solidFill>
          </w14:textFill>
        </w:rPr>
        <w:t>前锋区烟草制品零售点容量规定</w:t>
      </w:r>
      <w:bookmarkEnd w:id="6"/>
    </w:p>
    <w:p w14:paraId="53A3264A">
      <w:pPr>
        <w:spacing w:line="600" w:lineRule="exact"/>
        <w:ind w:firstLine="1600" w:firstLineChars="500"/>
        <w:rPr>
          <w:rFonts w:eastAsia="方正仿宋"/>
          <w:color w:val="000000" w:themeColor="text1"/>
          <w:sz w:val="32"/>
          <w:szCs w:val="32"/>
          <w14:textFill>
            <w14:solidFill>
              <w14:schemeClr w14:val="tx1"/>
            </w14:solidFill>
          </w14:textFill>
        </w:rPr>
      </w:pPr>
      <w:r>
        <w:rPr>
          <w:rFonts w:eastAsia="方正仿宋"/>
          <w:color w:val="000000" w:themeColor="text1"/>
          <w:sz w:val="32"/>
          <w:szCs w:val="32"/>
          <w14:textFill>
            <w14:solidFill>
              <w14:schemeClr w14:val="tx1"/>
            </w14:solidFill>
          </w14:textFill>
        </w:rPr>
        <w:t>4.</w:t>
      </w:r>
      <w:r>
        <w:rPr>
          <w:rFonts w:eastAsia="方正仿宋"/>
          <w:color w:val="000000"/>
          <w:sz w:val="32"/>
          <w:szCs w:val="32"/>
        </w:rPr>
        <w:t>广安市</w:t>
      </w:r>
      <w:r>
        <w:rPr>
          <w:rFonts w:eastAsia="方正仿宋"/>
          <w:color w:val="000000" w:themeColor="text1"/>
          <w:sz w:val="32"/>
          <w:szCs w:val="32"/>
          <w14:textFill>
            <w14:solidFill>
              <w14:schemeClr w14:val="tx1"/>
            </w14:solidFill>
          </w14:textFill>
        </w:rPr>
        <w:t>前锋区烟草制品雪茄烟零售点容量规定</w:t>
      </w:r>
    </w:p>
    <w:p w14:paraId="0822F695">
      <w:pPr>
        <w:spacing w:line="600" w:lineRule="exact"/>
        <w:ind w:firstLine="1600" w:firstLineChars="500"/>
        <w:rPr>
          <w:rFonts w:eastAsia="方正仿宋"/>
          <w:color w:val="000000" w:themeColor="text1"/>
          <w:sz w:val="32"/>
          <w:szCs w:val="32"/>
          <w14:textFill>
            <w14:solidFill>
              <w14:schemeClr w14:val="tx1"/>
            </w14:solidFill>
          </w14:textFill>
        </w:rPr>
      </w:pPr>
    </w:p>
    <w:p w14:paraId="4803193E">
      <w:pPr>
        <w:spacing w:line="600" w:lineRule="exact"/>
        <w:ind w:firstLine="1600" w:firstLineChars="500"/>
        <w:rPr>
          <w:rFonts w:eastAsia="方正仿宋"/>
          <w:color w:val="000000" w:themeColor="text1"/>
          <w:sz w:val="32"/>
          <w:szCs w:val="32"/>
          <w14:textFill>
            <w14:solidFill>
              <w14:schemeClr w14:val="tx1"/>
            </w14:solidFill>
          </w14:textFill>
        </w:rPr>
      </w:pPr>
    </w:p>
    <w:p w14:paraId="7D446823">
      <w:pPr>
        <w:spacing w:line="600" w:lineRule="exact"/>
        <w:ind w:firstLine="1600" w:firstLineChars="500"/>
        <w:rPr>
          <w:rFonts w:eastAsia="方正仿宋"/>
          <w:color w:val="000000" w:themeColor="text1"/>
          <w:sz w:val="32"/>
          <w:szCs w:val="32"/>
          <w14:textFill>
            <w14:solidFill>
              <w14:schemeClr w14:val="tx1"/>
            </w14:solidFill>
          </w14:textFill>
        </w:rPr>
      </w:pPr>
    </w:p>
    <w:p w14:paraId="25E4C08F">
      <w:pPr>
        <w:spacing w:line="600" w:lineRule="exact"/>
        <w:ind w:firstLine="1600" w:firstLineChars="500"/>
        <w:rPr>
          <w:rFonts w:eastAsia="方正仿宋"/>
          <w:color w:val="000000" w:themeColor="text1"/>
          <w:sz w:val="32"/>
          <w:szCs w:val="32"/>
          <w14:textFill>
            <w14:solidFill>
              <w14:schemeClr w14:val="tx1"/>
            </w14:solidFill>
          </w14:textFill>
        </w:rPr>
      </w:pPr>
    </w:p>
    <w:p w14:paraId="16827A61">
      <w:pPr>
        <w:spacing w:line="600" w:lineRule="exact"/>
        <w:ind w:firstLine="1600" w:firstLineChars="500"/>
        <w:rPr>
          <w:rFonts w:eastAsia="方正仿宋"/>
          <w:color w:val="000000" w:themeColor="text1"/>
          <w:sz w:val="32"/>
          <w:szCs w:val="32"/>
          <w14:textFill>
            <w14:solidFill>
              <w14:schemeClr w14:val="tx1"/>
            </w14:solidFill>
          </w14:textFill>
        </w:rPr>
      </w:pPr>
    </w:p>
    <w:p w14:paraId="49685E3C">
      <w:pPr>
        <w:spacing w:line="600" w:lineRule="exact"/>
        <w:ind w:firstLine="1600" w:firstLineChars="500"/>
        <w:rPr>
          <w:rFonts w:eastAsia="方正仿宋"/>
          <w:color w:val="000000" w:themeColor="text1"/>
          <w:sz w:val="32"/>
          <w:szCs w:val="32"/>
          <w14:textFill>
            <w14:solidFill>
              <w14:schemeClr w14:val="tx1"/>
            </w14:solidFill>
          </w14:textFill>
        </w:rPr>
      </w:pPr>
    </w:p>
    <w:p w14:paraId="636C0F1D">
      <w:pPr>
        <w:spacing w:line="600" w:lineRule="exact"/>
        <w:ind w:firstLine="1600" w:firstLineChars="500"/>
        <w:rPr>
          <w:rFonts w:eastAsia="方正仿宋"/>
          <w:color w:val="000000" w:themeColor="text1"/>
          <w:sz w:val="32"/>
          <w:szCs w:val="32"/>
          <w14:textFill>
            <w14:solidFill>
              <w14:schemeClr w14:val="tx1"/>
            </w14:solidFill>
          </w14:textFill>
        </w:rPr>
      </w:pPr>
    </w:p>
    <w:p w14:paraId="61B2D418">
      <w:pPr>
        <w:spacing w:line="600" w:lineRule="exact"/>
        <w:ind w:firstLine="1600" w:firstLineChars="500"/>
        <w:rPr>
          <w:rFonts w:eastAsia="方正仿宋"/>
          <w:color w:val="000000" w:themeColor="text1"/>
          <w:sz w:val="32"/>
          <w:szCs w:val="32"/>
          <w14:textFill>
            <w14:solidFill>
              <w14:schemeClr w14:val="tx1"/>
            </w14:solidFill>
          </w14:textFill>
        </w:rPr>
      </w:pPr>
    </w:p>
    <w:p w14:paraId="7600F4A4">
      <w:pPr>
        <w:spacing w:line="600" w:lineRule="exact"/>
        <w:ind w:firstLine="1600" w:firstLineChars="500"/>
        <w:rPr>
          <w:rFonts w:eastAsia="方正仿宋"/>
          <w:color w:val="000000" w:themeColor="text1"/>
          <w:sz w:val="32"/>
          <w:szCs w:val="32"/>
          <w14:textFill>
            <w14:solidFill>
              <w14:schemeClr w14:val="tx1"/>
            </w14:solidFill>
          </w14:textFill>
        </w:rPr>
      </w:pPr>
    </w:p>
    <w:p w14:paraId="6A38F311">
      <w:pPr>
        <w:spacing w:line="600" w:lineRule="exact"/>
        <w:ind w:firstLine="1600" w:firstLineChars="500"/>
        <w:rPr>
          <w:rFonts w:eastAsia="方正仿宋"/>
          <w:color w:val="000000" w:themeColor="text1"/>
          <w:sz w:val="32"/>
          <w:szCs w:val="32"/>
          <w14:textFill>
            <w14:solidFill>
              <w14:schemeClr w14:val="tx1"/>
            </w14:solidFill>
          </w14:textFill>
        </w:rPr>
      </w:pPr>
    </w:p>
    <w:p w14:paraId="7C7C71E6">
      <w:pPr>
        <w:spacing w:line="600" w:lineRule="exact"/>
        <w:ind w:firstLine="1600" w:firstLineChars="500"/>
        <w:rPr>
          <w:rFonts w:eastAsia="方正仿宋"/>
          <w:color w:val="000000" w:themeColor="text1"/>
          <w:sz w:val="32"/>
          <w:szCs w:val="32"/>
          <w14:textFill>
            <w14:solidFill>
              <w14:schemeClr w14:val="tx1"/>
            </w14:solidFill>
          </w14:textFill>
        </w:rPr>
      </w:pPr>
    </w:p>
    <w:p w14:paraId="6F834329">
      <w:pPr>
        <w:spacing w:line="600" w:lineRule="exact"/>
        <w:ind w:firstLine="1600" w:firstLineChars="500"/>
        <w:rPr>
          <w:rFonts w:eastAsia="方正仿宋"/>
          <w:color w:val="000000" w:themeColor="text1"/>
          <w:sz w:val="32"/>
          <w:szCs w:val="32"/>
          <w14:textFill>
            <w14:solidFill>
              <w14:schemeClr w14:val="tx1"/>
            </w14:solidFill>
          </w14:textFill>
        </w:rPr>
      </w:pPr>
    </w:p>
    <w:p w14:paraId="5AB45969">
      <w:pPr>
        <w:spacing w:line="600" w:lineRule="exact"/>
        <w:ind w:firstLine="1600" w:firstLineChars="500"/>
        <w:rPr>
          <w:rFonts w:eastAsia="方正仿宋"/>
          <w:color w:val="000000" w:themeColor="text1"/>
          <w:sz w:val="32"/>
          <w:szCs w:val="32"/>
          <w14:textFill>
            <w14:solidFill>
              <w14:schemeClr w14:val="tx1"/>
            </w14:solidFill>
          </w14:textFill>
        </w:rPr>
      </w:pPr>
    </w:p>
    <w:p w14:paraId="6F28ED7F">
      <w:pPr>
        <w:spacing w:line="600" w:lineRule="exact"/>
        <w:ind w:firstLine="1600" w:firstLineChars="500"/>
        <w:rPr>
          <w:rFonts w:eastAsia="方正仿宋"/>
          <w:color w:val="000000" w:themeColor="text1"/>
          <w:sz w:val="32"/>
          <w:szCs w:val="32"/>
          <w14:textFill>
            <w14:solidFill>
              <w14:schemeClr w14:val="tx1"/>
            </w14:solidFill>
          </w14:textFill>
        </w:rPr>
      </w:pPr>
    </w:p>
    <w:p w14:paraId="7EC26533">
      <w:pPr>
        <w:spacing w:line="600" w:lineRule="exact"/>
        <w:ind w:firstLine="1600" w:firstLineChars="500"/>
        <w:rPr>
          <w:rFonts w:eastAsia="方正仿宋"/>
          <w:color w:val="000000" w:themeColor="text1"/>
          <w:sz w:val="32"/>
          <w:szCs w:val="32"/>
          <w14:textFill>
            <w14:solidFill>
              <w14:schemeClr w14:val="tx1"/>
            </w14:solidFill>
          </w14:textFill>
        </w:rPr>
      </w:pPr>
    </w:p>
    <w:p w14:paraId="290EB05F">
      <w:pPr>
        <w:pStyle w:val="7"/>
        <w:spacing w:line="600" w:lineRule="exact"/>
        <w:jc w:val="left"/>
        <w:rPr>
          <w:rFonts w:ascii="Times New Roman" w:eastAsia="仿宋_GB2312" w:cs="Times New Roman"/>
          <w:position w:val="8"/>
          <w:sz w:val="28"/>
        </w:rPr>
      </w:pPr>
    </w:p>
    <w:sectPr>
      <w:headerReference r:id="rId3" w:type="default"/>
      <w:footerReference r:id="rId4" w:type="default"/>
      <w:footerReference r:id="rId5" w:type="even"/>
      <w:pgSz w:w="11906" w:h="16838"/>
      <w:pgMar w:top="2098" w:right="1474" w:bottom="1985" w:left="1588" w:header="851" w:footer="1588" w:gutter="0"/>
      <w:cols w:space="720" w:num="1"/>
      <w:docGrid w:type="lines" w:linePitch="312" w:charSpace="1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10601030101010101"/>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方正黑体">
    <w:altName w:val="黑体"/>
    <w:panose1 w:val="03000509000000000000"/>
    <w:charset w:val="86"/>
    <w:family w:val="script"/>
    <w:pitch w:val="default"/>
    <w:sig w:usb0="00000000" w:usb1="00000000" w:usb2="00000010" w:usb3="00000000" w:csb0="00040000" w:csb1="00000000"/>
  </w:font>
  <w:font w:name="方正仿宋">
    <w:altName w:val="仿宋"/>
    <w:panose1 w:val="03000509000000000000"/>
    <w:charset w:val="86"/>
    <w:family w:val="script"/>
    <w:pitch w:val="default"/>
    <w:sig w:usb0="00000000" w:usb1="00000000" w:usb2="00000010" w:usb3="00000000" w:csb0="00040000" w:csb1="00000000"/>
  </w:font>
  <w:font w:name="方正楷体">
    <w:altName w:val="宋体"/>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CF852">
    <w:pPr>
      <w:pStyle w:val="2"/>
      <w:ind w:right="500" w:firstLine="360"/>
      <w:jc w:val="right"/>
      <w:rPr>
        <w:sz w:val="28"/>
        <w:szCs w:val="28"/>
      </w:rPr>
    </w:pPr>
    <w:r>
      <w:rPr>
        <w:rStyle w:val="6"/>
        <w:rFonts w:hint="eastAsia" w:ascii="宋体" w:hAnsi="宋体"/>
        <w:kern w:val="0"/>
        <w:sz w:val="28"/>
        <w:szCs w:val="28"/>
      </w:rPr>
      <w:t>－　</w:t>
    </w:r>
    <w:r>
      <w:rPr>
        <w:rStyle w:val="6"/>
        <w:rFonts w:ascii="宋体" w:hAnsi="宋体"/>
        <w:kern w:val="0"/>
        <w:sz w:val="28"/>
        <w:szCs w:val="28"/>
      </w:rPr>
      <w:fldChar w:fldCharType="begin"/>
    </w:r>
    <w:r>
      <w:rPr>
        <w:rStyle w:val="6"/>
        <w:rFonts w:ascii="宋体" w:hAnsi="宋体"/>
        <w:kern w:val="0"/>
        <w:sz w:val="28"/>
        <w:szCs w:val="28"/>
      </w:rPr>
      <w:instrText xml:space="preserve"> PAGE </w:instrText>
    </w:r>
    <w:r>
      <w:rPr>
        <w:rStyle w:val="6"/>
        <w:rFonts w:ascii="宋体" w:hAnsi="宋体"/>
        <w:kern w:val="0"/>
        <w:sz w:val="28"/>
        <w:szCs w:val="28"/>
      </w:rPr>
      <w:fldChar w:fldCharType="separate"/>
    </w:r>
    <w:r>
      <w:rPr>
        <w:rStyle w:val="6"/>
        <w:rFonts w:ascii="宋体" w:hAnsi="宋体"/>
        <w:kern w:val="0"/>
        <w:sz w:val="28"/>
        <w:szCs w:val="28"/>
      </w:rPr>
      <w:t>1</w:t>
    </w:r>
    <w:r>
      <w:rPr>
        <w:rStyle w:val="6"/>
        <w:rFonts w:ascii="宋体" w:hAnsi="宋体"/>
        <w:kern w:val="0"/>
        <w:sz w:val="28"/>
        <w:szCs w:val="28"/>
      </w:rPr>
      <w:fldChar w:fldCharType="end"/>
    </w:r>
    <w:r>
      <w:rPr>
        <w:rStyle w:val="6"/>
        <w:rFonts w:hint="eastAsia" w:ascii="宋体" w:hAnsi="宋体"/>
        <w:kern w:val="0"/>
        <w:sz w:val="28"/>
        <w:szCs w:val="28"/>
      </w:rPr>
      <w:t>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3A105">
    <w:pPr>
      <w:pStyle w:val="2"/>
      <w:framePr w:wrap="around" w:vAnchor="text" w:hAnchor="margin" w:xAlign="outside" w:y="1"/>
      <w:jc w:val="center"/>
      <w:rPr>
        <w:rStyle w:val="6"/>
        <w:sz w:val="28"/>
      </w:rPr>
    </w:pPr>
    <w:r>
      <w:rPr>
        <w:rStyle w:val="6"/>
        <w:rFonts w:hint="eastAsia"/>
        <w:sz w:val="28"/>
      </w:rPr>
      <w:t xml:space="preserve">                   </w:t>
    </w:r>
  </w:p>
  <w:p w14:paraId="6690DD18">
    <w:pPr>
      <w:pStyle w:val="2"/>
      <w:ind w:right="360"/>
    </w:pPr>
    <w:r>
      <w:rPr>
        <w:rStyle w:val="6"/>
        <w:rFonts w:hint="eastAsia" w:ascii="宋体" w:hAnsi="宋体"/>
        <w:kern w:val="0"/>
        <w:sz w:val="28"/>
        <w:szCs w:val="28"/>
      </w:rPr>
      <w:t>　－　</w:t>
    </w:r>
    <w:r>
      <w:rPr>
        <w:rStyle w:val="6"/>
        <w:rFonts w:ascii="宋体" w:hAnsi="宋体"/>
        <w:kern w:val="0"/>
        <w:sz w:val="28"/>
        <w:szCs w:val="28"/>
      </w:rPr>
      <w:fldChar w:fldCharType="begin"/>
    </w:r>
    <w:r>
      <w:rPr>
        <w:rStyle w:val="6"/>
        <w:rFonts w:ascii="宋体" w:hAnsi="宋体"/>
        <w:kern w:val="0"/>
        <w:sz w:val="28"/>
        <w:szCs w:val="28"/>
      </w:rPr>
      <w:instrText xml:space="preserve"> PAGE </w:instrText>
    </w:r>
    <w:r>
      <w:rPr>
        <w:rStyle w:val="6"/>
        <w:rFonts w:ascii="宋体" w:hAnsi="宋体"/>
        <w:kern w:val="0"/>
        <w:sz w:val="28"/>
        <w:szCs w:val="28"/>
      </w:rPr>
      <w:fldChar w:fldCharType="separate"/>
    </w:r>
    <w:r>
      <w:rPr>
        <w:rStyle w:val="6"/>
        <w:rFonts w:ascii="宋体" w:hAnsi="宋体"/>
        <w:kern w:val="0"/>
        <w:sz w:val="28"/>
        <w:szCs w:val="28"/>
      </w:rPr>
      <w:t>10</w:t>
    </w:r>
    <w:r>
      <w:rPr>
        <w:rStyle w:val="6"/>
        <w:rFonts w:ascii="宋体" w:hAnsi="宋体"/>
        <w:kern w:val="0"/>
        <w:sz w:val="28"/>
        <w:szCs w:val="28"/>
      </w:rPr>
      <w:fldChar w:fldCharType="end"/>
    </w:r>
    <w:r>
      <w:rPr>
        <w:rStyle w:val="6"/>
        <w:rFonts w:hint="eastAsia" w:ascii="宋体" w:hAnsi="宋体"/>
        <w:kern w:val="0"/>
        <w:sz w:val="28"/>
        <w:szCs w:val="28"/>
      </w:rPr>
      <w:t>　－　</w: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54ECA">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9E5733"/>
    <w:multiLevelType w:val="singleLevel"/>
    <w:tmpl w:val="D49E5733"/>
    <w:lvl w:ilvl="0" w:tentative="0">
      <w:start w:val="4"/>
      <w:numFmt w:val="chineseCounting"/>
      <w:suff w:val="space"/>
      <w:lvlText w:val="第%1章"/>
      <w:lvlJc w:val="left"/>
      <w:rPr>
        <w:rFonts w:hint="eastAsia"/>
      </w:rPr>
    </w:lvl>
  </w:abstractNum>
  <w:abstractNum w:abstractNumId="1">
    <w:nsid w:val="D89D8261"/>
    <w:multiLevelType w:val="singleLevel"/>
    <w:tmpl w:val="D89D8261"/>
    <w:lvl w:ilvl="0" w:tentative="0">
      <w:start w:val="7"/>
      <w:numFmt w:val="chineseCounting"/>
      <w:suff w:val="space"/>
      <w:lvlText w:val="第%1条"/>
      <w:lvlJc w:val="left"/>
      <w:rPr>
        <w:rFonts w:hint="eastAsia"/>
      </w:rPr>
    </w:lvl>
  </w:abstractNum>
  <w:abstractNum w:abstractNumId="2">
    <w:nsid w:val="E0CF7956"/>
    <w:multiLevelType w:val="singleLevel"/>
    <w:tmpl w:val="E0CF7956"/>
    <w:lvl w:ilvl="0" w:tentative="0">
      <w:start w:val="9"/>
      <w:numFmt w:val="chineseCounting"/>
      <w:suff w:val="space"/>
      <w:lvlText w:val="第%1条"/>
      <w:lvlJc w:val="left"/>
      <w:rPr>
        <w:rFonts w:hint="eastAsia" w:ascii="方正楷体" w:hAnsi="楷体" w:eastAsia="方正楷体"/>
      </w:rPr>
    </w:lvl>
  </w:abstractNum>
  <w:abstractNum w:abstractNumId="3">
    <w:nsid w:val="FA6ED7AE"/>
    <w:multiLevelType w:val="singleLevel"/>
    <w:tmpl w:val="FA6ED7AE"/>
    <w:lvl w:ilvl="0" w:tentative="0">
      <w:start w:val="2"/>
      <w:numFmt w:val="chineseCounting"/>
      <w:suff w:val="space"/>
      <w:lvlText w:val="第%1章"/>
      <w:lvlJc w:val="left"/>
      <w:rPr>
        <w:rFonts w:hint="eastAsia"/>
      </w:rPr>
    </w:lvl>
  </w:abstractNum>
  <w:abstractNum w:abstractNumId="4">
    <w:nsid w:val="FC7D9100"/>
    <w:multiLevelType w:val="singleLevel"/>
    <w:tmpl w:val="FC7D9100"/>
    <w:lvl w:ilvl="0" w:tentative="0">
      <w:start w:val="1"/>
      <w:numFmt w:val="chineseCounting"/>
      <w:suff w:val="nothing"/>
      <w:lvlText w:val="（%1）"/>
      <w:lvlJc w:val="left"/>
      <w:rPr>
        <w:rFonts w:hint="eastAsia"/>
      </w:rPr>
    </w:lvl>
  </w:abstractNum>
  <w:abstractNum w:abstractNumId="5">
    <w:nsid w:val="0CFA3873"/>
    <w:multiLevelType w:val="singleLevel"/>
    <w:tmpl w:val="0CFA3873"/>
    <w:lvl w:ilvl="0" w:tentative="0">
      <w:start w:val="3"/>
      <w:numFmt w:val="chineseCounting"/>
      <w:suff w:val="nothing"/>
      <w:lvlText w:val="（%1）"/>
      <w:lvlJc w:val="left"/>
      <w:rPr>
        <w:rFonts w:hint="eastAsia"/>
      </w:rPr>
    </w:lvl>
  </w:abstractNum>
  <w:abstractNum w:abstractNumId="6">
    <w:nsid w:val="65FDEB27"/>
    <w:multiLevelType w:val="singleLevel"/>
    <w:tmpl w:val="65FDEB27"/>
    <w:lvl w:ilvl="0" w:tentative="0">
      <w:start w:val="14"/>
      <w:numFmt w:val="chineseCounting"/>
      <w:suff w:val="space"/>
      <w:lvlText w:val="第%1条"/>
      <w:lvlJc w:val="left"/>
      <w:rPr>
        <w:rFonts w:hint="eastAsia" w:ascii="方正楷体" w:hAnsi="楷体" w:eastAsia="方正楷体"/>
      </w:rPr>
    </w:lvl>
  </w:abstractNum>
  <w:abstractNum w:abstractNumId="7">
    <w:nsid w:val="68273953"/>
    <w:multiLevelType w:val="singleLevel"/>
    <w:tmpl w:val="68273953"/>
    <w:lvl w:ilvl="0" w:tentative="0">
      <w:start w:val="1"/>
      <w:numFmt w:val="chineseCounting"/>
      <w:suff w:val="space"/>
      <w:lvlText w:val="第%1章"/>
      <w:lvlJc w:val="left"/>
      <w:rPr>
        <w:rFonts w:hint="eastAsia"/>
      </w:rPr>
    </w:lvl>
  </w:abstractNum>
  <w:num w:numId="1">
    <w:abstractNumId w:val="7"/>
  </w:num>
  <w:num w:numId="2">
    <w:abstractNumId w:val="1"/>
  </w:num>
  <w:num w:numId="3">
    <w:abstractNumId w:val="3"/>
  </w:num>
  <w:num w:numId="4">
    <w:abstractNumId w:val="2"/>
  </w:num>
  <w:num w:numId="5">
    <w:abstractNumId w:val="5"/>
  </w:num>
  <w:num w:numId="6">
    <w:abstractNumId w:val="6"/>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BC6"/>
    <w:rsid w:val="000400AA"/>
    <w:rsid w:val="0046613A"/>
    <w:rsid w:val="00466677"/>
    <w:rsid w:val="006A7BC6"/>
    <w:rsid w:val="00827A89"/>
    <w:rsid w:val="00830883"/>
    <w:rsid w:val="00886DA8"/>
    <w:rsid w:val="00A749BC"/>
    <w:rsid w:val="00BD7D02"/>
    <w:rsid w:val="00D87ED1"/>
    <w:rsid w:val="00F15A62"/>
    <w:rsid w:val="03991E7F"/>
    <w:rsid w:val="04AB649F"/>
    <w:rsid w:val="07DEC20F"/>
    <w:rsid w:val="08542E27"/>
    <w:rsid w:val="093B44D3"/>
    <w:rsid w:val="09630FC6"/>
    <w:rsid w:val="0C7D7814"/>
    <w:rsid w:val="0F711501"/>
    <w:rsid w:val="105B7B98"/>
    <w:rsid w:val="113969C6"/>
    <w:rsid w:val="119836EC"/>
    <w:rsid w:val="14153BD1"/>
    <w:rsid w:val="156B0F2F"/>
    <w:rsid w:val="16EF6AE9"/>
    <w:rsid w:val="17BC46C5"/>
    <w:rsid w:val="17FF68A3"/>
    <w:rsid w:val="1AD7180C"/>
    <w:rsid w:val="1B141530"/>
    <w:rsid w:val="1D311E4C"/>
    <w:rsid w:val="1E6F4A33"/>
    <w:rsid w:val="1FF99ECF"/>
    <w:rsid w:val="22A462A8"/>
    <w:rsid w:val="24B756DA"/>
    <w:rsid w:val="28841139"/>
    <w:rsid w:val="2B734A26"/>
    <w:rsid w:val="2CF2CC3F"/>
    <w:rsid w:val="2FC516F9"/>
    <w:rsid w:val="2FE915C7"/>
    <w:rsid w:val="390B715B"/>
    <w:rsid w:val="398B304A"/>
    <w:rsid w:val="3AFC1CAA"/>
    <w:rsid w:val="3BD80A06"/>
    <w:rsid w:val="3E1B7B63"/>
    <w:rsid w:val="3E216694"/>
    <w:rsid w:val="3E7D3B1A"/>
    <w:rsid w:val="3EE1D772"/>
    <w:rsid w:val="3F3D6D79"/>
    <w:rsid w:val="3F7C322D"/>
    <w:rsid w:val="40330901"/>
    <w:rsid w:val="40CA7A02"/>
    <w:rsid w:val="419E1DAA"/>
    <w:rsid w:val="42153149"/>
    <w:rsid w:val="4446233C"/>
    <w:rsid w:val="46573C52"/>
    <w:rsid w:val="46EC6E31"/>
    <w:rsid w:val="47DF2447"/>
    <w:rsid w:val="4901159C"/>
    <w:rsid w:val="4FBB7A47"/>
    <w:rsid w:val="4FFE56A6"/>
    <w:rsid w:val="51D75590"/>
    <w:rsid w:val="52D576F4"/>
    <w:rsid w:val="534648AD"/>
    <w:rsid w:val="53B81EE5"/>
    <w:rsid w:val="579B5B5E"/>
    <w:rsid w:val="57AA1D7A"/>
    <w:rsid w:val="57CA759C"/>
    <w:rsid w:val="57EFAD1B"/>
    <w:rsid w:val="584C6C0B"/>
    <w:rsid w:val="59B361F2"/>
    <w:rsid w:val="59FFB797"/>
    <w:rsid w:val="5E7B3747"/>
    <w:rsid w:val="5FDB6A5E"/>
    <w:rsid w:val="5FFE5425"/>
    <w:rsid w:val="615781D3"/>
    <w:rsid w:val="6272043C"/>
    <w:rsid w:val="662FEECD"/>
    <w:rsid w:val="66941F15"/>
    <w:rsid w:val="67B72B9F"/>
    <w:rsid w:val="67FB9714"/>
    <w:rsid w:val="67FE2304"/>
    <w:rsid w:val="6AF17FB3"/>
    <w:rsid w:val="6CB57E24"/>
    <w:rsid w:val="6D6E40A9"/>
    <w:rsid w:val="6DAF0D17"/>
    <w:rsid w:val="6DB77ED1"/>
    <w:rsid w:val="6FAE9077"/>
    <w:rsid w:val="70F21646"/>
    <w:rsid w:val="710A3B94"/>
    <w:rsid w:val="722D66AE"/>
    <w:rsid w:val="7696C19B"/>
    <w:rsid w:val="774F66FD"/>
    <w:rsid w:val="777619EF"/>
    <w:rsid w:val="77FF0CD5"/>
    <w:rsid w:val="79442C5B"/>
    <w:rsid w:val="79DDEEC8"/>
    <w:rsid w:val="79EEFA97"/>
    <w:rsid w:val="7AB931D5"/>
    <w:rsid w:val="7BAD1766"/>
    <w:rsid w:val="7BB73140"/>
    <w:rsid w:val="7BC64CEB"/>
    <w:rsid w:val="7BD9BD4C"/>
    <w:rsid w:val="7BEFD14B"/>
    <w:rsid w:val="7BF7DD52"/>
    <w:rsid w:val="7CBF81C2"/>
    <w:rsid w:val="7D5F6E8F"/>
    <w:rsid w:val="7DDF9DA6"/>
    <w:rsid w:val="7DFFFE2B"/>
    <w:rsid w:val="7E6312D3"/>
    <w:rsid w:val="7E6E1C68"/>
    <w:rsid w:val="7E7A74BC"/>
    <w:rsid w:val="7EE3B3D3"/>
    <w:rsid w:val="7EF7BB63"/>
    <w:rsid w:val="7EF99501"/>
    <w:rsid w:val="7EFE078A"/>
    <w:rsid w:val="7EFF7C41"/>
    <w:rsid w:val="7F3CF147"/>
    <w:rsid w:val="7F3D8255"/>
    <w:rsid w:val="7F582D9F"/>
    <w:rsid w:val="7F5EAE00"/>
    <w:rsid w:val="7FA78D97"/>
    <w:rsid w:val="7FDE915F"/>
    <w:rsid w:val="7FDF01F7"/>
    <w:rsid w:val="87F5613A"/>
    <w:rsid w:val="97E65D48"/>
    <w:rsid w:val="9F6F1C86"/>
    <w:rsid w:val="AAF7C9C6"/>
    <w:rsid w:val="ADFF477C"/>
    <w:rsid w:val="BACB4BEC"/>
    <w:rsid w:val="BBBB2331"/>
    <w:rsid w:val="BBFD803B"/>
    <w:rsid w:val="BCD790A2"/>
    <w:rsid w:val="BDFF9AD8"/>
    <w:rsid w:val="BEA4E83A"/>
    <w:rsid w:val="BF2F7C51"/>
    <w:rsid w:val="BF9CBB32"/>
    <w:rsid w:val="BFA7F43E"/>
    <w:rsid w:val="BFBF925E"/>
    <w:rsid w:val="BFFD8848"/>
    <w:rsid w:val="BFFE90A9"/>
    <w:rsid w:val="BFFFC298"/>
    <w:rsid w:val="BFFFFB36"/>
    <w:rsid w:val="CCDFD168"/>
    <w:rsid w:val="CDAF93E2"/>
    <w:rsid w:val="D5A720AA"/>
    <w:rsid w:val="D7E7D873"/>
    <w:rsid w:val="D7EE683E"/>
    <w:rsid w:val="DBEF9F68"/>
    <w:rsid w:val="DED3D7A4"/>
    <w:rsid w:val="DED72228"/>
    <w:rsid w:val="DF6B1D27"/>
    <w:rsid w:val="DF7A882B"/>
    <w:rsid w:val="DFFEB4B3"/>
    <w:rsid w:val="E3FB8788"/>
    <w:rsid w:val="E77E7930"/>
    <w:rsid w:val="E97E0326"/>
    <w:rsid w:val="ED5FFD8D"/>
    <w:rsid w:val="EE82A73B"/>
    <w:rsid w:val="EEBBB020"/>
    <w:rsid w:val="EEEB3834"/>
    <w:rsid w:val="F371D470"/>
    <w:rsid w:val="F3CBB82C"/>
    <w:rsid w:val="F5BB4D9D"/>
    <w:rsid w:val="F7ED10EA"/>
    <w:rsid w:val="F7F003F4"/>
    <w:rsid w:val="FA765111"/>
    <w:rsid w:val="FB8FF825"/>
    <w:rsid w:val="FBDFECC5"/>
    <w:rsid w:val="FE7FF588"/>
    <w:rsid w:val="FEF301A3"/>
    <w:rsid w:val="FF5F91F7"/>
    <w:rsid w:val="FFAB133E"/>
    <w:rsid w:val="FFBF2EE7"/>
    <w:rsid w:val="FFBFA49D"/>
    <w:rsid w:val="FFDBC6D3"/>
    <w:rsid w:val="FFFBC851"/>
    <w:rsid w:val="FFFD5541"/>
    <w:rsid w:val="FFFFB9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qFormat/>
    <w:uiPriority w:val="0"/>
  </w:style>
  <w:style w:type="paragraph" w:customStyle="1" w:styleId="7">
    <w:name w:val="样式 黑体 二号 底端: (单实线 自动设置  0.75 磅 行宽) 介于: (单实线 自动设置  0.75 磅 ...1"/>
    <w:basedOn w:val="1"/>
    <w:qFormat/>
    <w:uiPriority w:val="0"/>
    <w:pPr>
      <w:pBdr>
        <w:top w:val="single" w:color="auto" w:sz="8" w:space="1"/>
        <w:bottom w:val="single" w:color="auto" w:sz="8" w:space="1"/>
        <w:between w:val="single" w:color="auto" w:sz="6" w:space="1"/>
      </w:pBdr>
    </w:pPr>
    <w:rPr>
      <w:rFonts w:ascii="黑体" w:eastAsia="黑体" w:cs="宋体"/>
      <w:sz w:val="4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4277</Words>
  <Characters>4351</Characters>
  <Lines>34</Lines>
  <Paragraphs>9</Paragraphs>
  <TotalTime>36</TotalTime>
  <ScaleCrop>false</ScaleCrop>
  <LinksUpToDate>false</LinksUpToDate>
  <CharactersWithSpaces>4699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2025-12-28T19:48:00Z</dcterms:created>
  <dc:creator>171228</dc:creator>
  <cp:lastModifiedBy>171164</cp:lastModifiedBy>
  <dcterms:modified xsi:type="dcterms:W3CDTF">2026-03-05T07:35:24Z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eyJoZGlkIjoiMzBmZWMxNzI5Y2ViOTFhZjI5M2ZiNGJkMzNlYTI5Y2IiLCJ1c2VySWQiOiI0OTMwNzc3MzEifQ==</vt:lpwstr>
  </property>
  <property fmtid="{D5CDD505-2E9C-101B-9397-08002B2CF9AE}" pid="4" name="ICV">
    <vt:lpwstr>0AE28B810D74D46D367618677BEE2429</vt:lpwstr>
  </property>
</Properties>
</file>