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AE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Times New Roman" w:hAnsi="Times New Roman" w:eastAsia="方正黑体_GBK" w:cs="Times New Roman"/>
          <w:sz w:val="44"/>
          <w:szCs w:val="44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</w:p>
    <w:p w14:paraId="68F5A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</w:rPr>
        <w:t>前锋区第四次全国文物普查拟列为新发现不可移动文物名录</w:t>
      </w:r>
    </w:p>
    <w:bookmarkEnd w:id="0"/>
    <w:tbl>
      <w:tblPr>
        <w:tblStyle w:val="2"/>
        <w:tblW w:w="1345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550"/>
        <w:gridCol w:w="2055"/>
        <w:gridCol w:w="1290"/>
        <w:gridCol w:w="2558"/>
        <w:gridCol w:w="4222"/>
      </w:tblGrid>
      <w:tr w14:paraId="2ACDC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2AA10">
            <w:pPr>
              <w:widowControl/>
              <w:jc w:val="center"/>
              <w:textAlignment w:val="center"/>
              <w:rPr>
                <w:rFonts w:ascii="方正黑体_GBK" w:hAnsi="Times New Roman" w:eastAsia="方正黑体_GBK" w:cs="Times New Roman"/>
                <w:bCs/>
                <w:color w:val="000000"/>
                <w:sz w:val="22"/>
                <w:szCs w:val="25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kern w:val="0"/>
                <w:sz w:val="22"/>
                <w:szCs w:val="25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0AD61">
            <w:pPr>
              <w:widowControl/>
              <w:jc w:val="center"/>
              <w:textAlignment w:val="center"/>
              <w:rPr>
                <w:rFonts w:ascii="方正黑体_GBK" w:hAnsi="Times New Roman" w:eastAsia="方正黑体_GBK" w:cs="Times New Roman"/>
                <w:bCs/>
                <w:color w:val="000000"/>
                <w:sz w:val="22"/>
                <w:szCs w:val="25"/>
              </w:rPr>
            </w:pPr>
            <w:r>
              <w:rPr>
                <w:rStyle w:val="5"/>
                <w:rFonts w:hint="default" w:ascii="方正黑体_GBK" w:hAnsi="Times New Roman" w:eastAsia="方正黑体_GBK" w:cs="Times New Roman"/>
                <w:b w:val="0"/>
                <w:sz w:val="22"/>
              </w:rPr>
              <w:t>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F66D8">
            <w:pPr>
              <w:widowControl/>
              <w:jc w:val="center"/>
              <w:textAlignment w:val="center"/>
              <w:rPr>
                <w:rFonts w:ascii="方正黑体_GBK" w:hAnsi="Times New Roman" w:eastAsia="方正黑体_GBK" w:cs="Times New Roman"/>
                <w:bCs/>
                <w:color w:val="000000"/>
                <w:sz w:val="22"/>
                <w:szCs w:val="25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kern w:val="0"/>
                <w:sz w:val="22"/>
                <w:szCs w:val="25"/>
              </w:rPr>
              <w:t>类别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C578B">
            <w:pPr>
              <w:widowControl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方正黑体_GBK" w:hAnsi="Times New Roman" w:eastAsia="方正黑体_GBK" w:cs="Times New Roman"/>
                <w:bCs/>
                <w:color w:val="000000"/>
                <w:sz w:val="22"/>
                <w:szCs w:val="25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kern w:val="0"/>
                <w:sz w:val="22"/>
                <w:szCs w:val="25"/>
              </w:rPr>
              <w:t>统计年代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70E7D">
            <w:pPr>
              <w:widowControl/>
              <w:jc w:val="center"/>
              <w:textAlignment w:val="center"/>
              <w:rPr>
                <w:rFonts w:ascii="方正黑体_GBK" w:hAnsi="Times New Roman" w:eastAsia="方正黑体_GBK" w:cs="Times New Roman"/>
                <w:bCs/>
                <w:color w:val="000000"/>
                <w:sz w:val="22"/>
                <w:szCs w:val="25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sz w:val="22"/>
                <w:szCs w:val="25"/>
              </w:rPr>
              <w:t>文物级别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4F4C2">
            <w:pPr>
              <w:widowControl/>
              <w:jc w:val="center"/>
              <w:textAlignment w:val="center"/>
              <w:rPr>
                <w:rFonts w:ascii="方正黑体_GBK" w:hAnsi="Times New Roman" w:eastAsia="方正黑体_GBK" w:cs="Times New Roman"/>
                <w:bCs/>
                <w:color w:val="000000"/>
                <w:sz w:val="22"/>
                <w:szCs w:val="25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kern w:val="0"/>
                <w:sz w:val="22"/>
                <w:szCs w:val="25"/>
              </w:rPr>
              <w:t>地址</w:t>
            </w:r>
          </w:p>
        </w:tc>
      </w:tr>
      <w:tr w14:paraId="330C7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552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9E92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观音寨门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FB3F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古建筑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8384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清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BF24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未定级不可移动文物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D534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前锋区观塘镇继光村</w:t>
            </w:r>
          </w:p>
        </w:tc>
      </w:tr>
      <w:tr w14:paraId="31475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A1E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8790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1"/>
              </w:rPr>
              <w:t>白鹤村刘氏墓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9500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古墓葬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1C3D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清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A9A5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未定级不可移动文物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1590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前锋区观塘镇白鹤村</w:t>
            </w:r>
          </w:p>
        </w:tc>
      </w:tr>
      <w:tr w14:paraId="18771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021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855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1"/>
              </w:rPr>
            </w:pPr>
            <w:r>
              <w:fldChar w:fldCharType="begin"/>
            </w:r>
            <w:r>
              <w:instrText xml:space="preserve"> HYPERLINK "http://202.61.91.3:8088/tBBdataBasicController.do?viewDetail&amp;id=28e4ec4d-9666-49a2-a0c4-820d8036209a" \o "http://202.61.91.3:8088/tBBdataBasicController.do?viewDetail&amp;id=28e4ec4d-9666-49a2-a0c4-820d8036209a"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2"/>
                <w:szCs w:val="21"/>
                <w:u w:val="none"/>
              </w:rPr>
              <w:t>小二桥</w:t>
            </w: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2"/>
                <w:szCs w:val="21"/>
                <w:u w:val="none"/>
              </w:rPr>
              <w:fldChar w:fldCharType="end"/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06F1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古建筑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A2A5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清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F70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未定级不可移动文物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A76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前锋区观塘镇京东村</w:t>
            </w:r>
          </w:p>
        </w:tc>
      </w:tr>
      <w:tr w14:paraId="0F96A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DEC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BB26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1"/>
              </w:rPr>
              <w:t>望坝村崖墓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D264B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古墓葬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3CA61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汉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EC0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未定级不可移动文物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1B0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前锋区观塘镇望坝村</w:t>
            </w:r>
          </w:p>
        </w:tc>
      </w:tr>
      <w:tr w14:paraId="12FE6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EE2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69C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1"/>
              </w:rPr>
            </w:pPr>
            <w:r>
              <w:fldChar w:fldCharType="begin"/>
            </w:r>
            <w:r>
              <w:instrText xml:space="preserve"> HYPERLINK "http://202.61.91.3:8088/tBBdataBasicController.do?viewDetail&amp;id=bf21296f-0767-47ef-af2d-c07a2a2ca2bd" \o "http://202.61.91.3:8088/tBBdataBasicController.do?viewDetail&amp;id=bf21296f-0767-47ef-af2d-c07a2a2ca2bd"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2"/>
                <w:szCs w:val="21"/>
                <w:u w:val="none"/>
              </w:rPr>
              <w:t>孟家岩石屋</w:t>
            </w: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2"/>
                <w:szCs w:val="21"/>
                <w:u w:val="none"/>
              </w:rPr>
              <w:fldChar w:fldCharType="end"/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1E429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古建筑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67F4E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清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0FA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未定级不可移动文物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42C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前锋区观塘镇莲花村</w:t>
            </w:r>
          </w:p>
        </w:tc>
      </w:tr>
      <w:tr w14:paraId="08CC7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DEC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DF9F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1"/>
              </w:rPr>
              <w:t>唐家岩李氏墓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F7E4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古墓葬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1D94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清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8B48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未定级不可移动文物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AA65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前锋区代市镇流杯村</w:t>
            </w:r>
          </w:p>
        </w:tc>
      </w:tr>
      <w:tr w14:paraId="29A3C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061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4AE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1"/>
              </w:rPr>
            </w:pPr>
            <w:r>
              <w:fldChar w:fldCharType="begin"/>
            </w:r>
            <w:r>
              <w:instrText xml:space="preserve"> HYPERLINK "http://202.61.91.3:8088/tBBdataBasicController.do?viewDetail&amp;id=f9c6e81e-a5c6-481a-9a91-f3a53159e8d7" \o "http://202.61.91.3:8088/tBBdataBasicController.do?viewDetail&amp;id=f9c6e81e-a5c6-481a-9a91-f3a53159e8d7"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2"/>
                <w:szCs w:val="21"/>
                <w:u w:val="none"/>
              </w:rPr>
              <w:t>杨家坝常氏墓</w:t>
            </w: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2"/>
                <w:szCs w:val="21"/>
                <w:u w:val="none"/>
              </w:rPr>
              <w:fldChar w:fldCharType="end"/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7C2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古墓葬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40D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清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7322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未定级不可移动文物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281D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前锋区代市镇唐桥村</w:t>
            </w:r>
          </w:p>
        </w:tc>
      </w:tr>
      <w:tr w14:paraId="6AA32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2D3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C9D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1"/>
              </w:rPr>
            </w:pPr>
            <w:r>
              <w:fldChar w:fldCharType="begin"/>
            </w:r>
            <w:r>
              <w:instrText xml:space="preserve"> HYPERLINK "http://202.61.91.3:8088/tBBdataBasicController.do?viewDetail&amp;id=3dd806b4-6895-4fc0-9efd-4876115fa8db" \o "http://202.61.91.3:8088/tBBdataBasicController.do?viewDetail&amp;id=3dd806b4-6895-4fc0-9efd-4876115fa8db"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2"/>
                <w:szCs w:val="21"/>
                <w:u w:val="none"/>
              </w:rPr>
              <w:t>桥溪沟桥</w:t>
            </w: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2"/>
                <w:szCs w:val="21"/>
                <w:u w:val="none"/>
              </w:rPr>
              <w:fldChar w:fldCharType="end"/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9087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古建筑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B3EC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清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5618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未定级不可移动文物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E333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前锋区代市镇旭阳村</w:t>
            </w:r>
          </w:p>
        </w:tc>
      </w:tr>
      <w:tr w14:paraId="1AADE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4FA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88C9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1"/>
              </w:rPr>
              <w:t>双水井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BD5F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古建筑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F172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清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0088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未定级不可移动文物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4E52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前锋区桂兴镇春木村</w:t>
            </w:r>
          </w:p>
        </w:tc>
      </w:tr>
      <w:tr w14:paraId="74526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D62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E7D9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1"/>
              </w:rPr>
              <w:t>王家湾王氏墓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2FF0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古墓葬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AB0F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清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F390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未定级不可移动文物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2436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前锋区桂兴镇春木村</w:t>
            </w:r>
          </w:p>
        </w:tc>
      </w:tr>
      <w:tr w14:paraId="528C8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9A9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FBA0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1"/>
              </w:rPr>
              <w:t>松峰月景摩崖题刻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4A67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石窟寺及石刻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8333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清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018E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未定级不可移动文物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F0E5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前锋区龙滩镇龙珠村</w:t>
            </w:r>
          </w:p>
        </w:tc>
      </w:tr>
      <w:tr w14:paraId="7A3F1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4CD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2BD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1"/>
              </w:rPr>
              <w:t>月亭庵摩崖造像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0253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石窟寺及石刻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4D5D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清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370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未定级不可移动文物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609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前锋区龙滩镇龙珠村</w:t>
            </w:r>
          </w:p>
        </w:tc>
      </w:tr>
      <w:tr w14:paraId="6A8C5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DEF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4E1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1"/>
              </w:rPr>
            </w:pPr>
            <w:r>
              <w:fldChar w:fldCharType="begin"/>
            </w:r>
            <w:r>
              <w:instrText xml:space="preserve"> HYPERLINK "http://202.61.91.3:8088/tBBdataBasicController.do?viewDetail&amp;id=691acf4d-5253-45eb-b5c1-b9fd481ff568" \o "http://202.61.91.3:8088/tBBdataBasicController.do?viewDetail&amp;id=691acf4d-5253-45eb-b5c1-b9fd481ff568"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2"/>
                <w:szCs w:val="21"/>
                <w:u w:val="none"/>
              </w:rPr>
              <w:t>月亭庵问津井</w:t>
            </w: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2"/>
                <w:szCs w:val="21"/>
                <w:u w:val="none"/>
              </w:rPr>
              <w:fldChar w:fldCharType="end"/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F5F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古建筑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D92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清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A0B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未定级不可移动文物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D6B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前锋区龙滩镇龙珠村</w:t>
            </w:r>
          </w:p>
        </w:tc>
      </w:tr>
      <w:tr w14:paraId="3E475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079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9A44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1"/>
              </w:rPr>
              <w:t>毛家桥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BDF5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古建筑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B218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清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7032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未定级不可移动文物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9A5F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前锋区龙滩镇土寨村</w:t>
            </w:r>
          </w:p>
        </w:tc>
      </w:tr>
      <w:tr w14:paraId="11382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DE1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9314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1"/>
              </w:rPr>
              <w:t>龙凼岩桥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D98E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古建筑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9045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清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871E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未定级不可移动文物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6F62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前锋区广兴镇广龙社区</w:t>
            </w:r>
          </w:p>
        </w:tc>
      </w:tr>
      <w:tr w14:paraId="41824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A00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F036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1"/>
              </w:rPr>
              <w:t>新桥河坝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71C9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古建筑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1F16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清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B08B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未定级不可移动文物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C87A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前锋区广兴镇中村村</w:t>
            </w:r>
          </w:p>
        </w:tc>
      </w:tr>
      <w:tr w14:paraId="347E5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99C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BBC2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1"/>
              </w:rPr>
              <w:t>玉龙村萧氏墓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B74A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古墓葬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0D7DD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清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8F62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未定级不可移动文物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FF20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前锋区龙塘街道玉龙村</w:t>
            </w:r>
          </w:p>
        </w:tc>
      </w:tr>
      <w:tr w14:paraId="010E9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DBA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55D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1"/>
              </w:rPr>
            </w:pPr>
            <w:r>
              <w:fldChar w:fldCharType="begin"/>
            </w:r>
            <w:r>
              <w:instrText xml:space="preserve"> HYPERLINK "http://202.61.91.3:8088/tBBdataBasicController.do?viewDetail&amp;id=2c935676-5841-4a30-b1dd-8061c24e08fc" \o "http://202.61.91.3:8088/tBBdataBasicController.do?viewDetail&amp;id=2c935676-5841-4a30-b1dd-8061c24e08fc"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2"/>
                <w:szCs w:val="21"/>
                <w:u w:val="none"/>
              </w:rPr>
              <w:t>玉龙村袁氏墓</w:t>
            </w: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2"/>
                <w:szCs w:val="21"/>
                <w:u w:val="none"/>
              </w:rPr>
              <w:fldChar w:fldCharType="end"/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FAA0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古墓葬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D845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清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3BC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未定级不可移动文物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06D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前锋区龙塘街道玉龙村</w:t>
            </w:r>
          </w:p>
        </w:tc>
      </w:tr>
      <w:tr w14:paraId="68942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6B9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F84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1"/>
              </w:rPr>
            </w:pPr>
            <w:r>
              <w:fldChar w:fldCharType="begin"/>
            </w:r>
            <w:r>
              <w:instrText xml:space="preserve"> HYPERLINK "http://202.61.91.3:8088/tBBdataBasicController.do?viewDetail&amp;id=6fa4f799-c87b-41b2-b7ee-742ee11a9554" \o "http://202.61.91.3:8088/tBBdataBasicController.do?viewDetail&amp;id=6fa4f799-c87b-41b2-b7ee-742ee11a9554"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2"/>
                <w:szCs w:val="21"/>
                <w:u w:val="none"/>
              </w:rPr>
              <w:t>小北门摩崖造像</w:t>
            </w: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2"/>
                <w:szCs w:val="21"/>
                <w:u w:val="none"/>
              </w:rPr>
              <w:fldChar w:fldCharType="end"/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D65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石窟寺及石刻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65A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清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EBA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未定级不可移动文物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097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前锋区观阁镇大良村</w:t>
            </w:r>
          </w:p>
        </w:tc>
      </w:tr>
      <w:tr w14:paraId="734FA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A772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noWrap/>
            <w:vAlign w:val="center"/>
          </w:tcPr>
          <w:p w14:paraId="6929084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1"/>
              </w:rPr>
            </w:pPr>
            <w:r>
              <w:fldChar w:fldCharType="begin"/>
            </w:r>
            <w:r>
              <w:instrText xml:space="preserve"> HYPERLINK "http://202.61.91.3:8088/tBBdataBasicController.do?viewDetail&amp;id=8a257275-b1b9-417a-8c7a-3b465e29b21b" \o "http://202.61.91.3:8088/tBBdataBasicController.do?viewDetail&amp;id=8a257275-b1b9-417a-8c7a-3b465e29b21b"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2"/>
                <w:szCs w:val="21"/>
                <w:u w:val="none"/>
              </w:rPr>
              <w:t>大良城三圣摩崖造像</w:t>
            </w: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2"/>
                <w:szCs w:val="21"/>
                <w:u w:val="none"/>
              </w:rPr>
              <w:fldChar w:fldCharType="end"/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DF17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石窟寺及石刻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A769"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清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6B77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未定级不可移动文物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825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前锋区观阁镇大良村</w:t>
            </w:r>
          </w:p>
        </w:tc>
      </w:tr>
      <w:tr w14:paraId="332DB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D57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A5DA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打纸岩崖墓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B15E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古墓葬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80D2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汉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A891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1"/>
              </w:rPr>
              <w:t>未定级不可移动文物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AE0B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1"/>
              </w:rPr>
              <w:t>前锋区大佛寺街道得胜社区</w:t>
            </w:r>
          </w:p>
        </w:tc>
      </w:tr>
    </w:tbl>
    <w:p w14:paraId="4D540419"/>
    <w:sectPr>
      <w:pgSz w:w="16838" w:h="11906" w:orient="landscape"/>
      <w:pgMar w:top="1531" w:right="1984" w:bottom="153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41673"/>
    <w:rsid w:val="26C41673"/>
    <w:rsid w:val="347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25"/>
      <w:szCs w:val="2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2026-02-28T02:53:00Z</dcterms:created>
  <dc:creator>文广电旅局</dc:creator>
  <cp:lastModifiedBy>文广电旅局</cp:lastModifiedBy>
  <dcterms:modified xsi:type="dcterms:W3CDTF">2026-02-28T02:54:03Z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DC434EC501354BF68237253C111C7787_11</vt:lpwstr>
  </property>
  <property fmtid="{D5CDD505-2E9C-101B-9397-08002B2CF9AE}" pid="4" name="KSOTemplateDocerSaveRecord">
    <vt:lpwstr>eyJoZGlkIjoiNDdkOWQzMjU0ZjkwNDlmYWVhNDI0MjllNzdlOGFmMzQiLCJ1c2VySWQiOiIxMjg2MjMyNTI1In0=</vt:lpwstr>
  </property>
</Properties>
</file>