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</w:p>
    <w:p>
      <w:pPr>
        <w:pStyle w:val="4"/>
        <w:widowControl/>
        <w:shd w:val="clear" w:color="auto" w:fill="FFFFFF"/>
        <w:spacing w:before="0" w:beforeAutospacing="0" w:after="0" w:afterAutospacing="0" w:line="705" w:lineRule="atLeast"/>
        <w:jc w:val="center"/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评分标准</w:t>
      </w:r>
    </w:p>
    <w:tbl>
      <w:tblPr>
        <w:tblStyle w:val="5"/>
        <w:tblW w:w="989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272"/>
        <w:gridCol w:w="672"/>
        <w:gridCol w:w="4647"/>
        <w:gridCol w:w="28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Header/>
          <w:jc w:val="center"/>
        </w:trPr>
        <w:tc>
          <w:tcPr>
            <w:tcW w:w="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72" w:type="dxa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评分因素</w:t>
            </w:r>
          </w:p>
        </w:tc>
        <w:tc>
          <w:tcPr>
            <w:tcW w:w="672" w:type="dxa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4647" w:type="dxa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评审标准</w:t>
            </w:r>
          </w:p>
        </w:tc>
        <w:tc>
          <w:tcPr>
            <w:tcW w:w="2838" w:type="dxa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报价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供应商自行参照《招标代理服务收费管理暂行办法》（计价格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〔</w:t>
            </w:r>
            <w:r>
              <w:rPr>
                <w:rFonts w:hint="default" w:ascii="Times New Roman" w:hAnsi="Times New Roman" w:cs="Times New Roman"/>
                <w:color w:val="000000"/>
              </w:rPr>
              <w:t>2002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〕</w:t>
            </w:r>
            <w:r>
              <w:rPr>
                <w:rFonts w:hint="default" w:ascii="Times New Roman" w:hAnsi="Times New Roman" w:cs="Times New Roman"/>
                <w:color w:val="000000"/>
              </w:rPr>
              <w:t>1980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号）附件《招标代理服务收费标准》有关规定标准（即</w:t>
            </w:r>
            <w:r>
              <w:rPr>
                <w:rFonts w:hint="default" w:ascii="Times New Roman" w:hAnsi="Times New Roman" w:cs="Times New Roman"/>
                <w:color w:val="000000"/>
              </w:rPr>
              <w:t>100%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）收费标准基础上进行报价，每下浮</w:t>
            </w:r>
            <w:r>
              <w:rPr>
                <w:rFonts w:hint="default" w:ascii="Times New Roman" w:hAnsi="Times New Roman" w:cs="Times New Roman"/>
                <w:color w:val="000000"/>
              </w:rPr>
              <w:t>1%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得</w:t>
            </w:r>
            <w:r>
              <w:rPr>
                <w:rFonts w:hint="default" w:ascii="Times New Roman" w:hAnsi="Times New Roman" w:cs="Times New Roman"/>
                <w:color w:val="00000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分，最多得</w:t>
            </w:r>
            <w:r>
              <w:rPr>
                <w:rFonts w:hint="default" w:ascii="Times New Roman" w:hAnsi="Times New Roman" w:cs="Times New Roman"/>
                <w:color w:val="000000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分。超过最高报价的将作为无效投标处理。</w:t>
            </w: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企业信誉及实力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具有良好的商业信誉，得</w:t>
            </w: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参加本次政府采购活动前三年内，在经营活动中没有重大违法记录，得5分；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具有依法缴纳税收和社会保障资金的良好记录，得</w:t>
            </w: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分。</w:t>
            </w: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提供相关证明复印件，加盖鲜章。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企业业绩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210" w:beforeAutospacing="0" w:after="120" w:afterAutospacing="0" w:line="44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提供2023年以来政府采购业绩：每提供1个得2分。该项最多得20分。未提供业绩及证明材料的，不得分。</w:t>
            </w: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提供项目公告网页截图，并提供业绩真实性承诺函。招标人有权在评审结束后，对相关信息进行核实，发现虚假信息的，取消中选资格。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1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服务能力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代理机构在广安市范围内具有稳定的组织开标、评标场地，得</w:t>
            </w:r>
            <w:r>
              <w:rPr>
                <w:rFonts w:hint="default" w:ascii="Times New Roman" w:hAnsi="Times New Roman" w:cs="Times New Roman"/>
                <w:color w:val="000000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分。（场地应具备：独立开标室、评标室、监督室、档案室、有明显标识的专家通道、无死角的开标室监控设备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）。本条缺少其中一项，扣5分，扣完为止，最多得</w:t>
            </w:r>
            <w:r>
              <w:rPr>
                <w:rFonts w:hint="default" w:ascii="Times New Roman" w:hAnsi="Times New Roman" w:cs="Times New Roman"/>
                <w:color w:val="000000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分。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代理机构政府采购专职人员不得低于</w:t>
            </w: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人，</w:t>
            </w:r>
            <w:r>
              <w:rPr>
                <w:rFonts w:hint="default" w:ascii="Times New Roman" w:hAnsi="Times New Roman" w:cs="Times New Roman"/>
                <w:color w:val="000000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人得</w:t>
            </w: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分，</w:t>
            </w:r>
            <w:r>
              <w:rPr>
                <w:rFonts w:hint="default" w:ascii="Times New Roman" w:hAnsi="Times New Roman" w:cs="Times New Roman"/>
                <w:color w:val="000000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人得</w:t>
            </w:r>
            <w:r>
              <w:rPr>
                <w:rFonts w:hint="default" w:ascii="Times New Roman" w:hAnsi="Times New Roman" w:cs="Times New Roman"/>
                <w:color w:val="000000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分，</w:t>
            </w: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以上得</w:t>
            </w:r>
            <w:r>
              <w:rPr>
                <w:rFonts w:hint="default" w:ascii="Times New Roman" w:hAnsi="Times New Roman" w:cs="Times New Roman"/>
                <w:color w:val="000000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分。</w:t>
            </w: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场地必须提供以上要求的各评审场地的现场真实图片。专职人员需提供四川政府采购网截图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9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服务方案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30分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代理机构提供内部的规章制度，包括但不限于开标制度及流程、内部控制制度、保密制度、廉洁制度、培训管理等5项。完全满足代理工作需求，描述清晰且合理可行，得15分，每有一项缺失扣3分，不合理、不清楚扣1分，扣完为止，未提供实施方案不得分。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代理机构对我单位采购代理工作提供针对性服务方案，包括但不限于项目进度保障、采购文件编制和审核、突发事件预案、质疑投诉处理、备案资料编制等5项。完全满足代理工作需求，描述清晰且合理可行，得15分，每有一项缺失扣3分，不合理、不清楚扣1分，扣完为止，未提供实施方案不得分。</w:t>
            </w: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提供针对本项目的服务方案及保障体系及措施。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69" w:type="dxa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合计</w:t>
            </w: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100分</w:t>
            </w:r>
          </w:p>
        </w:tc>
        <w:tc>
          <w:tcPr>
            <w:tcW w:w="4647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8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D17C3"/>
    <w:multiLevelType w:val="singleLevel"/>
    <w:tmpl w:val="D21D17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0AC5"/>
    <w:rsid w:val="00230EA1"/>
    <w:rsid w:val="00234F8E"/>
    <w:rsid w:val="002D22BE"/>
    <w:rsid w:val="004E1266"/>
    <w:rsid w:val="00B36470"/>
    <w:rsid w:val="00D8316B"/>
    <w:rsid w:val="50C17667"/>
    <w:rsid w:val="5F6F4B49"/>
    <w:rsid w:val="64350AC5"/>
    <w:rsid w:val="77E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840</Characters>
  <Lines>6</Lines>
  <Paragraphs>1</Paragraphs>
  <TotalTime>6</TotalTime>
  <ScaleCrop>false</ScaleCrop>
  <LinksUpToDate>false</LinksUpToDate>
  <CharactersWithSpaces>840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2025-12-01T15:45:00Z</dcterms:created>
  <dc:creator>Lvy</dc:creator>
  <cp:lastModifiedBy>sthjj</cp:lastModifiedBy>
  <dcterms:modified xsi:type="dcterms:W3CDTF">2026-06-30T12:03:11Z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94B395C2E72F08DDFF3F436ADD8B9EC4_43</vt:lpwstr>
  </property>
  <property fmtid="{D5CDD505-2E9C-101B-9397-08002B2CF9AE}" pid="4" name="KSOTemplateDocerSaveRecord">
    <vt:lpwstr>eyJoZGlkIjoiMzg2OGE0MDg3OTQwMWM3YzUyNDQxM2Q3ZGEzNmM5OGIiLCJ1c2VySWQiOiI2NTMxNzMwODYifQ==</vt:lpwstr>
  </property>
</Properties>
</file>